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3F" w:rsidRDefault="00661485" w:rsidP="00661485">
      <w:pPr>
        <w:rPr>
          <w:rFonts w:ascii="Arial" w:hAnsi="Arial" w:cs="Arial"/>
          <w:b/>
          <w:sz w:val="24"/>
          <w:szCs w:val="24"/>
        </w:rPr>
      </w:pPr>
      <w:r w:rsidRPr="00E15A77">
        <w:rPr>
          <w:rFonts w:ascii="Arial" w:hAnsi="Arial" w:cs="Arial"/>
          <w:b/>
          <w:sz w:val="24"/>
          <w:szCs w:val="24"/>
        </w:rPr>
        <w:t>« NEPES », COMMISSION EDUCATION DE L’EFPA</w:t>
      </w:r>
      <w:r>
        <w:rPr>
          <w:rFonts w:ascii="Arial" w:hAnsi="Arial" w:cs="Arial"/>
          <w:b/>
          <w:sz w:val="24"/>
          <w:szCs w:val="24"/>
        </w:rPr>
        <w:t xml:space="preserve"> - Francine CORMAN</w:t>
      </w:r>
    </w:p>
    <w:p w:rsidR="00E15A77" w:rsidRPr="00E15A77" w:rsidRDefault="008D47BA" w:rsidP="00E15A7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Courrier à l’agence française qui gère le Programme ERASMUS+</w:t>
      </w:r>
    </w:p>
    <w:p w:rsidR="00E15A77" w:rsidRDefault="00E15A77" w:rsidP="00E15A7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</w:t>
      </w:r>
      <w:r w:rsidRPr="00E15A7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n modèle de courrier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transmis </w:t>
      </w:r>
      <w:r w:rsidRPr="00E15A7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par Marianne Kant </w:t>
      </w:r>
      <w:proofErr w:type="spellStart"/>
      <w:r w:rsidRPr="00E15A7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Schaps</w:t>
      </w:r>
      <w:proofErr w:type="spellEnd"/>
      <w:r w:rsidRPr="00E15A7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à envoyer à chaque agence nationale afin de développer les possibilités de formation et de rencontres subventionnées par le programme ERASMUS+ pour les psychologues de l'éducation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E15A7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a été traduit en français et sera envoyé à l’agence française.</w:t>
      </w:r>
    </w:p>
    <w:p w:rsidR="00661485" w:rsidRDefault="00661485" w:rsidP="00E15A7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tbl>
      <w:tblPr>
        <w:tblStyle w:val="Grilledutableau"/>
        <w:tblW w:w="10065" w:type="dxa"/>
        <w:tblInd w:w="-34" w:type="dxa"/>
        <w:tblLayout w:type="fixed"/>
        <w:tblLook w:val="04A0"/>
      </w:tblPr>
      <w:tblGrid>
        <w:gridCol w:w="10065"/>
      </w:tblGrid>
      <w:tr w:rsidR="00661485" w:rsidTr="00661485">
        <w:tc>
          <w:tcPr>
            <w:tcW w:w="10065" w:type="dxa"/>
          </w:tcPr>
          <w:p w:rsidR="00661485" w:rsidRPr="008D47BA" w:rsidRDefault="00661485" w:rsidP="006614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« 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Objet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Participation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des 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Psychologues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l’Education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au  Programme 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Érasmus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+ </w:t>
            </w:r>
          </w:p>
          <w:p w:rsidR="00661485" w:rsidRPr="008D47BA" w:rsidRDefault="00661485" w:rsidP="006614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C’est</w:t>
            </w:r>
            <w:proofErr w:type="spellEnd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avec</w:t>
            </w:r>
            <w:proofErr w:type="spellEnd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grand</w:t>
            </w:r>
            <w:proofErr w:type="spellEnd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intérêt</w:t>
            </w:r>
            <w:proofErr w:type="spellEnd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que</w:t>
            </w:r>
            <w:proofErr w:type="spellEnd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nous</w:t>
            </w:r>
            <w:proofErr w:type="spellEnd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avons</w:t>
            </w:r>
            <w:proofErr w:type="spellEnd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lu</w:t>
            </w:r>
            <w:proofErr w:type="spellEnd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directives</w:t>
            </w:r>
            <w:proofErr w:type="spellEnd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du  Programme  </w:t>
            </w:r>
            <w:proofErr w:type="spellStart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Érasmus</w:t>
            </w:r>
            <w:proofErr w:type="spellEnd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+ de </w:t>
            </w:r>
            <w:proofErr w:type="spellStart"/>
            <w:r w:rsidRPr="008D47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l’union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européenne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 : </w:t>
            </w:r>
            <w:hyperlink r:id="rId5" w:history="1">
              <w:r w:rsidRPr="008D47BA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>http://ec.europa.eu/programmes/erasmus-plus/documents/erasmus-plus-programme-guide_en.pdf</w:t>
              </w:r>
            </w:hyperlink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  <w:p w:rsidR="00661485" w:rsidRPr="008D47BA" w:rsidRDefault="00661485" w:rsidP="006614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En 2010 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Fédération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Européenne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d'Associations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Psychologues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EFPA 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finalisé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un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projet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européen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subventionné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«  ESPIL »  </w:t>
            </w:r>
            <w:r w:rsidRPr="008D47BA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8D47BA">
              <w:rPr>
                <w:rFonts w:ascii="Arial" w:eastAsia="Times New Roman" w:hAnsi="Arial" w:cs="Arial"/>
                <w:bCs/>
                <w:i/>
                <w:caps/>
                <w:sz w:val="20"/>
                <w:szCs w:val="20"/>
                <w:lang w:eastAsia="fr-FR"/>
              </w:rPr>
              <w:t xml:space="preserve"> formation initiale et continue, PROFIL PROFESSIONNEL ET SERVICE de psycholog</w:t>
            </w:r>
            <w:r>
              <w:rPr>
                <w:rFonts w:ascii="Arial" w:eastAsia="Times New Roman" w:hAnsi="Arial" w:cs="Arial"/>
                <w:bCs/>
                <w:i/>
                <w:caps/>
                <w:sz w:val="20"/>
                <w:szCs w:val="20"/>
                <w:lang w:eastAsia="fr-FR"/>
              </w:rPr>
              <w:t>ie</w:t>
            </w:r>
            <w:r w:rsidRPr="008D47BA">
              <w:rPr>
                <w:rFonts w:ascii="Arial" w:eastAsia="Times New Roman" w:hAnsi="Arial" w:cs="Arial"/>
                <w:bCs/>
                <w:i/>
                <w:caps/>
                <w:sz w:val="20"/>
                <w:szCs w:val="20"/>
                <w:lang w:eastAsia="fr-FR"/>
              </w:rPr>
              <w:t xml:space="preserve"> DAN</w:t>
            </w:r>
            <w:r>
              <w:rPr>
                <w:rFonts w:ascii="Arial" w:eastAsia="Times New Roman" w:hAnsi="Arial" w:cs="Arial"/>
                <w:bCs/>
                <w:i/>
                <w:caps/>
                <w:sz w:val="20"/>
                <w:szCs w:val="20"/>
                <w:lang w:eastAsia="fr-FR"/>
              </w:rPr>
              <w:t>S LE système educatiF  en EuropE</w:t>
            </w:r>
            <w:r w:rsidRPr="008D47BA">
              <w:rPr>
                <w:rFonts w:ascii="Arial" w:hAnsi="Arial" w:cs="Arial"/>
                <w:i/>
                <w:sz w:val="20"/>
                <w:szCs w:val="20"/>
              </w:rPr>
              <w:t>”.</w:t>
            </w:r>
          </w:p>
          <w:p w:rsidR="00661485" w:rsidRPr="008D47BA" w:rsidRDefault="00661485" w:rsidP="006614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Les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résultats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indiquent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que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psychologues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dans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l'éducation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contribuent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significativement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nombreuses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façons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l’apprentissage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tout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au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long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vie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en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promouvant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qualité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et 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dimension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d'équité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 </w:t>
            </w:r>
          </w:p>
          <w:p w:rsidR="00661485" w:rsidRPr="008D47BA" w:rsidRDefault="00661485" w:rsidP="006614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Une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recommandations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conséquentes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projet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est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promotion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eur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collaboration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européenne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pour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identifier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faire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connaitre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les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meilleures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pratiques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et 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faciliter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échanges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pratiques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et les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i</w:t>
            </w: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sites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d’études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 Cela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est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apparu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comme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un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élément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essentiel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pour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développement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standards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européens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qualité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service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voir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positions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l’EFPA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</w:t>
            </w:r>
            <w:hyperlink r:id="rId6" w:history="1">
              <w:r w:rsidRPr="008D47BA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>http://www.efpa.eu/professional-development/efpa-position-paper-psychologists-in-theeducational-system</w:t>
              </w:r>
            </w:hyperlink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) .</w:t>
            </w:r>
          </w:p>
          <w:p w:rsidR="00661485" w:rsidRPr="008D47BA" w:rsidRDefault="00661485" w:rsidP="006614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  <w:lang w:val="fr-FR"/>
              </w:rPr>
            </w:pP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Suite à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projet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les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psychologues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scolaires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ont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développé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échanges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au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niveau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européen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 : cf </w:t>
            </w: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  <w:lang w:val="fr-FR"/>
              </w:rPr>
              <w:t>visites d’étude CEDEFOP</w:t>
            </w:r>
          </w:p>
          <w:p w:rsidR="00661485" w:rsidRPr="008D47BA" w:rsidRDefault="00661485" w:rsidP="00661485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“Efficiency of school psychological services in  the  lifelong  guidance  of  learning» (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Belgique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/Luxembourg/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Allemagne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)  15.-19.10.2012 </w:t>
            </w:r>
          </w:p>
          <w:p w:rsidR="00661485" w:rsidRPr="008D47BA" w:rsidRDefault="00661485" w:rsidP="00661485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“Equal opportunities  for  disadvantaged  groups  -  Inclusion  in  education  and  the  school  psychologist’s  role”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Danemark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26/05/2014 - 30/05/2014. </w:t>
            </w:r>
          </w:p>
          <w:p w:rsidR="00661485" w:rsidRPr="008D47BA" w:rsidRDefault="00661485" w:rsidP="00661485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Dans le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programme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Erasmus+,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nous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pouvons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trouver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possibilités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participer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aux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actions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clé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2 «  </w:t>
            </w:r>
            <w:proofErr w:type="spellStart"/>
            <w:r w:rsidRPr="008D47BA">
              <w:rPr>
                <w:rStyle w:val="A3"/>
                <w:rFonts w:ascii="Arial" w:hAnsi="Arial" w:cs="Arial"/>
                <w:i/>
                <w:sz w:val="20"/>
                <w:szCs w:val="20"/>
              </w:rPr>
              <w:t>projets</w:t>
            </w:r>
            <w:proofErr w:type="spellEnd"/>
            <w:r w:rsidRPr="008D47BA">
              <w:rPr>
                <w:rStyle w:val="A3"/>
                <w:rFonts w:ascii="Arial" w:hAnsi="Arial" w:cs="Arial"/>
                <w:i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Style w:val="A3"/>
                <w:rFonts w:ascii="Arial" w:hAnsi="Arial" w:cs="Arial"/>
                <w:i/>
                <w:sz w:val="20"/>
                <w:szCs w:val="20"/>
              </w:rPr>
              <w:t>coopération</w:t>
            </w:r>
            <w:proofErr w:type="spellEnd"/>
            <w:r w:rsidRPr="008D47BA">
              <w:rPr>
                <w:rStyle w:val="A3"/>
                <w:rFonts w:ascii="Arial" w:hAnsi="Arial" w:cs="Arial"/>
                <w:i/>
                <w:sz w:val="20"/>
                <w:szCs w:val="20"/>
              </w:rPr>
              <w:t xml:space="preserve"> internationale et le </w:t>
            </w:r>
            <w:proofErr w:type="spellStart"/>
            <w:r w:rsidRPr="008D47BA">
              <w:rPr>
                <w:rStyle w:val="A3"/>
                <w:rFonts w:ascii="Arial" w:hAnsi="Arial" w:cs="Arial"/>
                <w:i/>
                <w:sz w:val="20"/>
                <w:szCs w:val="20"/>
              </w:rPr>
              <w:t>partage</w:t>
            </w:r>
            <w:proofErr w:type="spellEnd"/>
            <w:r w:rsidRPr="008D47BA">
              <w:rPr>
                <w:rStyle w:val="A3"/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Style w:val="A3"/>
                <w:rFonts w:ascii="Arial" w:hAnsi="Arial" w:cs="Arial"/>
                <w:i/>
                <w:sz w:val="20"/>
                <w:szCs w:val="20"/>
              </w:rPr>
              <w:t>d’expériences</w:t>
            </w:r>
            <w:proofErr w:type="spellEnd"/>
            <w:r w:rsidRPr="008D47BA">
              <w:rPr>
                <w:rStyle w:val="A3"/>
                <w:rFonts w:ascii="Arial" w:hAnsi="Arial" w:cs="Arial"/>
                <w:i/>
                <w:sz w:val="20"/>
                <w:szCs w:val="20"/>
              </w:rPr>
              <w:t xml:space="preserve"> » </w:t>
            </w:r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et 3 </w:t>
            </w:r>
            <w:r w:rsidRPr="008D47BA">
              <w:rPr>
                <w:rFonts w:ascii="Arial" w:hAnsi="Arial" w:cs="Arial"/>
                <w:b/>
                <w:i/>
                <w:sz w:val="20"/>
                <w:szCs w:val="20"/>
              </w:rPr>
              <w:t>« </w:t>
            </w:r>
            <w:proofErr w:type="spellStart"/>
            <w:r w:rsidRPr="008D47BA">
              <w:rPr>
                <w:rFonts w:ascii="Arial" w:hAnsi="Arial" w:cs="Arial"/>
                <w:b/>
                <w:i/>
                <w:sz w:val="20"/>
                <w:szCs w:val="20"/>
              </w:rPr>
              <w:t>soutien</w:t>
            </w:r>
            <w:proofErr w:type="spellEnd"/>
            <w:r w:rsidRPr="008D47B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à la </w:t>
            </w:r>
            <w:proofErr w:type="spellStart"/>
            <w:r w:rsidRPr="008D47BA">
              <w:rPr>
                <w:rFonts w:ascii="Arial" w:hAnsi="Arial" w:cs="Arial"/>
                <w:b/>
                <w:i/>
                <w:sz w:val="20"/>
                <w:szCs w:val="20"/>
              </w:rPr>
              <w:t>réforme</w:t>
            </w:r>
            <w:proofErr w:type="spellEnd"/>
            <w:r w:rsidRPr="008D47B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b/>
                <w:i/>
                <w:sz w:val="20"/>
                <w:szCs w:val="20"/>
              </w:rPr>
              <w:t>politiques</w:t>
            </w:r>
            <w:proofErr w:type="spellEnd"/>
            <w:r w:rsidRPr="008D47BA">
              <w:rPr>
                <w:rFonts w:ascii="Arial" w:hAnsi="Arial" w:cs="Arial"/>
                <w:b/>
                <w:i/>
                <w:sz w:val="20"/>
                <w:szCs w:val="20"/>
              </w:rPr>
              <w:t> »</w:t>
            </w:r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mais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non  à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l’action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clé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1 « </w:t>
            </w:r>
            <w:proofErr w:type="spellStart"/>
            <w:r w:rsidRPr="008D47BA">
              <w:rPr>
                <w:rStyle w:val="A3"/>
                <w:rFonts w:ascii="Arial" w:hAnsi="Arial" w:cs="Arial"/>
                <w:i/>
                <w:color w:val="auto"/>
                <w:sz w:val="20"/>
                <w:szCs w:val="20"/>
              </w:rPr>
              <w:t>mobilités</w:t>
            </w:r>
            <w:proofErr w:type="spellEnd"/>
            <w:r w:rsidRPr="008D47BA">
              <w:rPr>
                <w:rStyle w:val="A3"/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Style w:val="A3"/>
                <w:rFonts w:ascii="Arial" w:hAnsi="Arial" w:cs="Arial"/>
                <w:i/>
                <w:color w:val="auto"/>
                <w:sz w:val="20"/>
                <w:szCs w:val="20"/>
              </w:rPr>
              <w:t>d’études</w:t>
            </w:r>
            <w:proofErr w:type="spellEnd"/>
            <w:r w:rsidRPr="008D47BA">
              <w:rPr>
                <w:rStyle w:val="A3"/>
                <w:rFonts w:ascii="Arial" w:hAnsi="Arial" w:cs="Arial"/>
                <w:i/>
                <w:color w:val="auto"/>
                <w:sz w:val="20"/>
                <w:szCs w:val="20"/>
              </w:rPr>
              <w:t xml:space="preserve">, de </w:t>
            </w:r>
            <w:proofErr w:type="spellStart"/>
            <w:r w:rsidRPr="008D47BA">
              <w:rPr>
                <w:rStyle w:val="A3"/>
                <w:rFonts w:ascii="Arial" w:hAnsi="Arial" w:cs="Arial"/>
                <w:i/>
                <w:color w:val="auto"/>
                <w:sz w:val="20"/>
                <w:szCs w:val="20"/>
              </w:rPr>
              <w:t>formation</w:t>
            </w:r>
            <w:proofErr w:type="spellEnd"/>
            <w:r w:rsidRPr="008D47BA">
              <w:rPr>
                <w:rStyle w:val="A3"/>
                <w:rFonts w:ascii="Arial" w:hAnsi="Arial" w:cs="Arial"/>
                <w:i/>
                <w:color w:val="auto"/>
                <w:sz w:val="20"/>
                <w:szCs w:val="20"/>
              </w:rPr>
              <w:t xml:space="preserve"> et </w:t>
            </w:r>
            <w:proofErr w:type="spellStart"/>
            <w:r w:rsidRPr="008D47BA">
              <w:rPr>
                <w:rStyle w:val="A3"/>
                <w:rFonts w:ascii="Arial" w:hAnsi="Arial" w:cs="Arial"/>
                <w:i/>
                <w:color w:val="auto"/>
                <w:sz w:val="20"/>
                <w:szCs w:val="20"/>
              </w:rPr>
              <w:t>d’apprentissage</w:t>
            </w:r>
            <w:proofErr w:type="spellEnd"/>
            <w:r w:rsidRPr="008D47BA">
              <w:rPr>
                <w:rStyle w:val="A3"/>
                <w:rFonts w:ascii="Arial" w:hAnsi="Arial" w:cs="Arial"/>
                <w:i/>
                <w:color w:val="auto"/>
                <w:sz w:val="20"/>
                <w:szCs w:val="20"/>
              </w:rPr>
              <w:t xml:space="preserve"> » </w:t>
            </w:r>
            <w:proofErr w:type="spellStart"/>
            <w:r w:rsidRPr="008D47BA">
              <w:rPr>
                <w:rStyle w:val="A3"/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qui</w:t>
            </w:r>
            <w:proofErr w:type="spellEnd"/>
            <w:r w:rsidRPr="008D47BA">
              <w:rPr>
                <w:rStyle w:val="A3"/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Style w:val="A3"/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parait</w:t>
            </w:r>
            <w:proofErr w:type="spellEnd"/>
            <w:r w:rsidRPr="008D47BA">
              <w:rPr>
                <w:rStyle w:val="A3"/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essentielle </w:t>
            </w:r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au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développement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de la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qualité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services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d’aides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aux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écoles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 et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qui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a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commencé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à se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développer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 au sein des 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psychologues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scolaires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 à travers </w:t>
            </w:r>
            <w:proofErr w:type="spellStart"/>
            <w:r w:rsidRPr="008D47BA">
              <w:rPr>
                <w:rFonts w:ascii="Arial" w:hAnsi="Arial" w:cs="Arial"/>
                <w:i/>
                <w:sz w:val="20"/>
                <w:szCs w:val="20"/>
              </w:rPr>
              <w:t>l'Europe</w:t>
            </w:r>
            <w:proofErr w:type="spellEnd"/>
            <w:r w:rsidRPr="008D47BA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661485" w:rsidRPr="008D47BA" w:rsidRDefault="00661485" w:rsidP="006614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L'obstacle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principal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est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position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psychologues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scolaires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dans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</w:t>
            </w: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systèmes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éducatifs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peu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sont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engagés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par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écoles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plupart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psychologues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l’éducation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travaille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dans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services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publics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dans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les 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écoles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primaires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secondaires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professionnelles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mais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font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pas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partie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personnels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rattachés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aux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écoles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Ainsi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plupart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psychologues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scolaires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n'ont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pas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droit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formation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et  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mobilité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individuelle.</w:t>
            </w:r>
          </w:p>
          <w:p w:rsidR="00661485" w:rsidRPr="008D47BA" w:rsidRDefault="00661485" w:rsidP="006614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services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psychologie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scolaire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sont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pas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 : </w:t>
            </w:r>
          </w:p>
          <w:p w:rsidR="00661485" w:rsidRPr="008D47BA" w:rsidRDefault="00661485" w:rsidP="00661485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-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organismes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formation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continue</w:t>
            </w:r>
            <w:proofErr w:type="spellEnd"/>
          </w:p>
          <w:p w:rsidR="00661485" w:rsidRPr="008D47BA" w:rsidRDefault="00661485" w:rsidP="00661485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un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établissement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scolaire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 » 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assurant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fonctions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d’enseignement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et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formation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continue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professionnelle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 </w:t>
            </w:r>
          </w:p>
          <w:p w:rsidR="00661485" w:rsidRPr="008D47BA" w:rsidRDefault="00661485" w:rsidP="006614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seule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possibilité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serait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demander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un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programme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mobilité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titre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individuel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dans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cadre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formation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continue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dans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mesure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où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les 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psychologues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l’éducation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donnent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conseils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quant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l’orientation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scolaire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professionnelle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Toutes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activités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peuvent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faire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partie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celles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apportées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dans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un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service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psychologie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scolaire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mais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pas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obligatoirement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  Par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exemple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au 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oyaume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Uni</w:t>
            </w: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les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conseils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sont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donnés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aux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étudiants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par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spécialistes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du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marché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du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travail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tandis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que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dans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pays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francophones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sont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psychologues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l’éducation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qui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s’en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chargent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  <w:p w:rsidR="00661485" w:rsidRPr="008D47BA" w:rsidRDefault="00661485" w:rsidP="006614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En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raison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contribution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considérable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psychologues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l’éducation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l’apprentissage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tout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au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long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vie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et au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regard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indicateurs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objectifs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définis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par le plan 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européen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: «</w:t>
            </w:r>
            <w:proofErr w:type="spellStart"/>
            <w:r w:rsidRPr="008D47BA">
              <w:rPr>
                <w:rFonts w:ascii="Arial" w:hAnsi="Arial" w:cs="Arial"/>
                <w:b/>
                <w:i/>
                <w:sz w:val="20"/>
                <w:szCs w:val="20"/>
              </w:rPr>
              <w:t>stratégie</w:t>
            </w:r>
            <w:proofErr w:type="spellEnd"/>
            <w:r w:rsidRPr="008D47B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Europe 2020 » </w:t>
            </w: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particulièrement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baisse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du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seuil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décrocheurs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à 10 %,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nous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voudrions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que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soient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inclues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psychologues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scolaires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dans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votre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programme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« </w:t>
            </w:r>
            <w:proofErr w:type="spellStart"/>
            <w:r w:rsidRPr="008D47BA">
              <w:rPr>
                <w:rStyle w:val="A3"/>
                <w:rFonts w:ascii="Arial" w:hAnsi="Arial" w:cs="Arial"/>
                <w:i/>
                <w:sz w:val="20"/>
                <w:szCs w:val="20"/>
              </w:rPr>
              <w:t>mobilités</w:t>
            </w:r>
            <w:proofErr w:type="spellEnd"/>
            <w:r w:rsidRPr="008D47BA">
              <w:rPr>
                <w:rStyle w:val="A3"/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Style w:val="A3"/>
                <w:rFonts w:ascii="Arial" w:hAnsi="Arial" w:cs="Arial"/>
                <w:i/>
                <w:sz w:val="20"/>
                <w:szCs w:val="20"/>
              </w:rPr>
              <w:t>d’études</w:t>
            </w:r>
            <w:proofErr w:type="spellEnd"/>
            <w:r w:rsidRPr="008D47BA">
              <w:rPr>
                <w:rStyle w:val="A3"/>
                <w:rFonts w:ascii="Arial" w:hAnsi="Arial" w:cs="Arial"/>
                <w:i/>
                <w:sz w:val="20"/>
                <w:szCs w:val="20"/>
              </w:rPr>
              <w:t xml:space="preserve">, de </w:t>
            </w:r>
            <w:proofErr w:type="spellStart"/>
            <w:r w:rsidRPr="008D47BA">
              <w:rPr>
                <w:rStyle w:val="A3"/>
                <w:rFonts w:ascii="Arial" w:hAnsi="Arial" w:cs="Arial"/>
                <w:i/>
                <w:sz w:val="20"/>
                <w:szCs w:val="20"/>
              </w:rPr>
              <w:t>formation</w:t>
            </w:r>
            <w:proofErr w:type="spellEnd"/>
            <w:r w:rsidRPr="008D47BA">
              <w:rPr>
                <w:rStyle w:val="A3"/>
                <w:rFonts w:ascii="Arial" w:hAnsi="Arial" w:cs="Arial"/>
                <w:i/>
                <w:sz w:val="20"/>
                <w:szCs w:val="20"/>
              </w:rPr>
              <w:t xml:space="preserve"> et </w:t>
            </w:r>
            <w:proofErr w:type="spellStart"/>
            <w:r w:rsidRPr="008D47BA">
              <w:rPr>
                <w:rStyle w:val="A3"/>
                <w:rFonts w:ascii="Arial" w:hAnsi="Arial" w:cs="Arial"/>
                <w:i/>
                <w:sz w:val="20"/>
                <w:szCs w:val="20"/>
              </w:rPr>
              <w:t>d’apprentissage</w:t>
            </w:r>
            <w:proofErr w:type="spellEnd"/>
            <w:r w:rsidRPr="008D47BA">
              <w:rPr>
                <w:rStyle w:val="A3"/>
                <w:rFonts w:ascii="Arial" w:hAnsi="Arial" w:cs="Arial"/>
                <w:i/>
                <w:sz w:val="20"/>
                <w:szCs w:val="20"/>
              </w:rPr>
              <w:t> »</w:t>
            </w:r>
            <w:r w:rsidRPr="008D47BA">
              <w:rPr>
                <w:rStyle w:val="A3"/>
                <w:rFonts w:ascii="Arial" w:hAnsi="Arial" w:cs="Arial"/>
                <w:i/>
                <w:color w:val="auto"/>
                <w:sz w:val="20"/>
                <w:szCs w:val="20"/>
              </w:rPr>
              <w:t> </w:t>
            </w:r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en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nous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ajoutant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parmi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organisations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participantes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d’accueil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d’envoi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admissibles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: “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L'organisation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d'envoi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doit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être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une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école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ou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services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en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lien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avec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l’école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apportant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conseils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l’orientation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scolaire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professionnelle</w:t>
            </w:r>
            <w:proofErr w:type="spellEnd"/>
            <w:r w:rsidRPr="008D47B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»</w:t>
            </w:r>
          </w:p>
          <w:p w:rsidR="00661485" w:rsidRDefault="00661485" w:rsidP="00E15A7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661485" w:rsidRDefault="00661485" w:rsidP="00E15A7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61485" w:rsidRDefault="00661485" w:rsidP="00661485">
      <w:pPr>
        <w:pStyle w:val="Paragraphedeliste"/>
        <w:jc w:val="both"/>
        <w:rPr>
          <w:rFonts w:ascii="Arial" w:hAnsi="Arial" w:cs="Arial"/>
          <w:b/>
          <w:sz w:val="24"/>
          <w:szCs w:val="24"/>
        </w:rPr>
      </w:pPr>
    </w:p>
    <w:p w:rsidR="00661485" w:rsidRPr="008D47BA" w:rsidRDefault="00661485" w:rsidP="0066148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8D47BA">
        <w:rPr>
          <w:rFonts w:ascii="Arial" w:hAnsi="Arial" w:cs="Arial"/>
          <w:b/>
          <w:sz w:val="24"/>
          <w:szCs w:val="24"/>
        </w:rPr>
        <w:lastRenderedPageBreak/>
        <w:t xml:space="preserve">Participation </w:t>
      </w:r>
      <w:r>
        <w:rPr>
          <w:rFonts w:ascii="Arial" w:hAnsi="Arial" w:cs="Arial"/>
          <w:b/>
          <w:sz w:val="24"/>
          <w:szCs w:val="24"/>
        </w:rPr>
        <w:t>aux</w:t>
      </w:r>
      <w:r w:rsidRPr="008D47BA">
        <w:rPr>
          <w:rFonts w:ascii="Arial" w:hAnsi="Arial" w:cs="Arial"/>
          <w:b/>
          <w:sz w:val="24"/>
          <w:szCs w:val="24"/>
        </w:rPr>
        <w:t xml:space="preserve"> réunion</w:t>
      </w:r>
      <w:r>
        <w:rPr>
          <w:rFonts w:ascii="Arial" w:hAnsi="Arial" w:cs="Arial"/>
          <w:b/>
          <w:sz w:val="24"/>
          <w:szCs w:val="24"/>
        </w:rPr>
        <w:t>s</w:t>
      </w:r>
      <w:r w:rsidRPr="008D47BA">
        <w:rPr>
          <w:rFonts w:ascii="Arial" w:hAnsi="Arial" w:cs="Arial"/>
          <w:b/>
          <w:sz w:val="24"/>
          <w:szCs w:val="24"/>
        </w:rPr>
        <w:t xml:space="preserve"> de la commission Education de la FFPP (</w:t>
      </w:r>
      <w:r>
        <w:rPr>
          <w:rFonts w:ascii="Arial" w:hAnsi="Arial" w:cs="Arial"/>
          <w:b/>
          <w:sz w:val="24"/>
          <w:szCs w:val="24"/>
        </w:rPr>
        <w:t>14</w:t>
      </w:r>
      <w:r w:rsidRPr="008D47B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décembre 2013 et 18 janvier </w:t>
      </w:r>
      <w:r w:rsidRPr="008D47BA">
        <w:rPr>
          <w:rFonts w:ascii="Arial" w:hAnsi="Arial" w:cs="Arial"/>
          <w:b/>
          <w:sz w:val="24"/>
          <w:szCs w:val="24"/>
        </w:rPr>
        <w:t>2014)</w:t>
      </w:r>
    </w:p>
    <w:p w:rsidR="00661485" w:rsidRDefault="00661485" w:rsidP="001C3156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D47BA">
        <w:rPr>
          <w:rFonts w:ascii="Arial" w:hAnsi="Arial" w:cs="Arial"/>
          <w:sz w:val="24"/>
          <w:szCs w:val="24"/>
        </w:rPr>
        <w:t xml:space="preserve">Point sur l’actualité des </w:t>
      </w:r>
      <w:r>
        <w:rPr>
          <w:rFonts w:ascii="Arial" w:hAnsi="Arial" w:cs="Arial"/>
          <w:sz w:val="24"/>
          <w:szCs w:val="24"/>
        </w:rPr>
        <w:t>psychologues de l’éducation : fiches métier, groupe psychologues 1</w:t>
      </w:r>
      <w:r w:rsidRPr="008D47BA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et 2</w:t>
      </w:r>
      <w:r w:rsidRPr="008D47B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degrés, situation en Europe.</w:t>
      </w:r>
    </w:p>
    <w:p w:rsidR="001C3156" w:rsidRDefault="00661485" w:rsidP="001C3156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Actions engagées et envisagées : courrier de la FFPP au Ministère de l’EN et Ministère de la Réussite Educative concernant la situation des psychologues du 1</w:t>
      </w:r>
      <w:r w:rsidRPr="008D47BA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degré, rencontre avec psychologues de l’enseignement catholique, </w:t>
      </w:r>
    </w:p>
    <w:p w:rsidR="00661485" w:rsidRPr="008D47BA" w:rsidRDefault="00661485" w:rsidP="001C3156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réflexion à des modèles et des propositions quant à la formation future initiale et continue et les modalités d’interventions : structure, partenariat etc. </w:t>
      </w:r>
    </w:p>
    <w:p w:rsidR="00661485" w:rsidRDefault="00661485" w:rsidP="00661485">
      <w:pPr>
        <w:pStyle w:val="Paragraphedeliste"/>
        <w:jc w:val="both"/>
        <w:rPr>
          <w:rFonts w:ascii="Arial" w:hAnsi="Arial" w:cs="Arial"/>
          <w:b/>
          <w:sz w:val="24"/>
          <w:szCs w:val="24"/>
        </w:rPr>
      </w:pPr>
    </w:p>
    <w:p w:rsidR="00661485" w:rsidRDefault="00661485" w:rsidP="0066148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8D47BA">
        <w:rPr>
          <w:rFonts w:ascii="Arial" w:hAnsi="Arial" w:cs="Arial"/>
          <w:b/>
          <w:sz w:val="24"/>
          <w:szCs w:val="24"/>
        </w:rPr>
        <w:t>Participation à la réunion</w:t>
      </w:r>
      <w:r>
        <w:rPr>
          <w:rFonts w:ascii="Arial" w:hAnsi="Arial" w:cs="Arial"/>
          <w:b/>
          <w:sz w:val="24"/>
          <w:szCs w:val="24"/>
        </w:rPr>
        <w:t xml:space="preserve"> du </w:t>
      </w:r>
      <w:r w:rsidRPr="00E15A77">
        <w:rPr>
          <w:rFonts w:ascii="Arial" w:hAnsi="Arial" w:cs="Arial"/>
          <w:b/>
          <w:sz w:val="24"/>
          <w:szCs w:val="24"/>
        </w:rPr>
        <w:t>« NEPES », Commission Education de l’EFP</w:t>
      </w:r>
      <w:r>
        <w:rPr>
          <w:rFonts w:ascii="Arial" w:hAnsi="Arial" w:cs="Arial"/>
          <w:b/>
          <w:sz w:val="24"/>
          <w:szCs w:val="24"/>
        </w:rPr>
        <w:t>A le 8 mars 2014 à Bratislava - Slovaquie</w:t>
      </w:r>
    </w:p>
    <w:tbl>
      <w:tblPr>
        <w:tblStyle w:val="Grilledutableau"/>
        <w:tblW w:w="10031" w:type="dxa"/>
        <w:tblLayout w:type="fixed"/>
        <w:tblLook w:val="04A0"/>
      </w:tblPr>
      <w:tblGrid>
        <w:gridCol w:w="10031"/>
      </w:tblGrid>
      <w:tr w:rsidR="00661485" w:rsidRPr="00B144D3" w:rsidTr="00531ABE">
        <w:tc>
          <w:tcPr>
            <w:tcW w:w="10031" w:type="dxa"/>
          </w:tcPr>
          <w:p w:rsidR="00661485" w:rsidRPr="00706573" w:rsidRDefault="00661485" w:rsidP="00531AB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706573">
              <w:rPr>
                <w:rFonts w:ascii="Comic Sans MS" w:hAnsi="Comic Sans MS"/>
                <w:sz w:val="20"/>
                <w:szCs w:val="20"/>
                <w:lang w:val="en-US"/>
              </w:rPr>
              <w:t xml:space="preserve">Presentation of STC P-E –N.E.P.E.S.- </w:t>
            </w:r>
            <w:proofErr w:type="spellStart"/>
            <w:r w:rsidRPr="00706573">
              <w:rPr>
                <w:rFonts w:ascii="Comic Sans MS" w:hAnsi="Comic Sans MS"/>
                <w:sz w:val="20"/>
                <w:szCs w:val="20"/>
                <w:lang w:val="en-US"/>
              </w:rPr>
              <w:t>histor</w:t>
            </w:r>
            <w:r w:rsidRPr="00706573">
              <w:rPr>
                <w:rFonts w:ascii="Comic Sans MS" w:hAnsi="Comic Sans MS"/>
                <w:sz w:val="20"/>
                <w:szCs w:val="20"/>
                <w:lang w:val="en-US"/>
              </w:rPr>
              <w:t>ique</w:t>
            </w:r>
            <w:proofErr w:type="spellEnd"/>
            <w:r w:rsidRPr="00706573">
              <w:rPr>
                <w:rFonts w:ascii="Comic Sans MS" w:hAnsi="Comic Sans MS"/>
                <w:sz w:val="20"/>
                <w:szCs w:val="20"/>
                <w:lang w:val="en-US"/>
              </w:rPr>
              <w:t xml:space="preserve"> et plan </w:t>
            </w:r>
            <w:proofErr w:type="spellStart"/>
            <w:r w:rsidRPr="00706573">
              <w:rPr>
                <w:rFonts w:ascii="Comic Sans MS" w:hAnsi="Comic Sans MS"/>
                <w:sz w:val="20"/>
                <w:szCs w:val="20"/>
                <w:lang w:val="en-US"/>
              </w:rPr>
              <w:t>d’action</w:t>
            </w:r>
            <w:proofErr w:type="spellEnd"/>
            <w:r w:rsidRPr="0070657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Pr="00706573">
              <w:rPr>
                <w:rFonts w:ascii="Comic Sans MS" w:hAnsi="Comic Sans MS"/>
                <w:sz w:val="20"/>
                <w:szCs w:val="20"/>
                <w:lang w:val="en-US"/>
              </w:rPr>
              <w:t xml:space="preserve">2013-2015 </w:t>
            </w:r>
            <w:r w:rsidRPr="00706573">
              <w:rPr>
                <w:rFonts w:ascii="Comic Sans MS" w:hAnsi="Comic Sans MS"/>
                <w:sz w:val="20"/>
                <w:szCs w:val="20"/>
                <w:lang w:val="en-US"/>
              </w:rPr>
              <w:t xml:space="preserve">par </w:t>
            </w:r>
            <w:r w:rsidRPr="00706573">
              <w:rPr>
                <w:rFonts w:ascii="Comic Sans MS" w:hAnsi="Comic Sans MS"/>
                <w:sz w:val="20"/>
                <w:szCs w:val="20"/>
                <w:lang w:val="en-US"/>
              </w:rPr>
              <w:t>Marianne Kant-</w:t>
            </w:r>
            <w:proofErr w:type="spellStart"/>
            <w:r w:rsidRPr="00706573">
              <w:rPr>
                <w:rFonts w:ascii="Comic Sans MS" w:hAnsi="Comic Sans MS"/>
                <w:sz w:val="20"/>
                <w:szCs w:val="20"/>
                <w:lang w:val="en-US"/>
              </w:rPr>
              <w:t>Schaps</w:t>
            </w:r>
            <w:proofErr w:type="spellEnd"/>
          </w:p>
        </w:tc>
      </w:tr>
      <w:tr w:rsidR="00661485" w:rsidRPr="002900AA" w:rsidTr="00531ABE">
        <w:tc>
          <w:tcPr>
            <w:tcW w:w="10031" w:type="dxa"/>
          </w:tcPr>
          <w:p w:rsidR="00661485" w:rsidRPr="00706573" w:rsidRDefault="00661485" w:rsidP="00531A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Table Ro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nd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e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: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enjeux actuels dans chaque pays</w:t>
            </w:r>
          </w:p>
        </w:tc>
      </w:tr>
      <w:tr w:rsidR="00661485" w:rsidRPr="002900AA" w:rsidTr="00531ABE">
        <w:tc>
          <w:tcPr>
            <w:tcW w:w="10031" w:type="dxa"/>
          </w:tcPr>
          <w:p w:rsidR="00661485" w:rsidRPr="00706573" w:rsidRDefault="00661485" w:rsidP="00531A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Présentation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du programme développé pour les Psychologues de l’Education au sein de la faculté de psychologie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à la « 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Pan </w:t>
            </w:r>
            <w:proofErr w:type="spellStart"/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European</w:t>
            </w:r>
            <w:proofErr w:type="spellEnd"/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University</w:t>
            </w:r>
            <w:proofErr w:type="spellEnd"/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 »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par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 Eva </w:t>
            </w:r>
            <w:proofErr w:type="spellStart"/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Gajdosova</w:t>
            </w:r>
            <w:proofErr w:type="spellEnd"/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 + discussion</w:t>
            </w:r>
          </w:p>
        </w:tc>
      </w:tr>
      <w:tr w:rsidR="00661485" w:rsidRPr="00200844" w:rsidTr="00531ABE">
        <w:tc>
          <w:tcPr>
            <w:tcW w:w="10031" w:type="dxa"/>
          </w:tcPr>
          <w:p w:rsidR="00661485" w:rsidRPr="00706573" w:rsidRDefault="00661485" w:rsidP="00531A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G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roup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e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s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de travail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: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quelles actions sont à finaliser avant le Congrè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s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de l’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EFPA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  en juillet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2015?</w:t>
            </w:r>
          </w:p>
          <w:p w:rsidR="00661485" w:rsidRPr="00706573" w:rsidRDefault="00661485" w:rsidP="00531A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- Curriculum européen «  Psychologie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de l’é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ducation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 »</w:t>
            </w:r>
          </w:p>
          <w:p w:rsidR="00661485" w:rsidRPr="00706573" w:rsidRDefault="00661485" w:rsidP="00531A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- Education Inclusive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 et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Droits de l’Enfant</w:t>
            </w:r>
          </w:p>
          <w:p w:rsidR="00661485" w:rsidRPr="00706573" w:rsidRDefault="00661485" w:rsidP="00531A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-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Développement de la c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ommunication </w:t>
            </w:r>
          </w:p>
          <w:p w:rsidR="00661485" w:rsidRPr="00706573" w:rsidRDefault="00661485" w:rsidP="00531A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- Projets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Européens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(Expert Group on Mental </w:t>
            </w:r>
            <w:proofErr w:type="spellStart"/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Health</w:t>
            </w:r>
            <w:proofErr w:type="spellEnd"/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 of Adolescents, </w:t>
            </w:r>
            <w:proofErr w:type="spellStart"/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Study</w:t>
            </w:r>
            <w:proofErr w:type="spellEnd"/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Visit</w:t>
            </w:r>
            <w:proofErr w:type="spellEnd"/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, ICT…)</w:t>
            </w:r>
          </w:p>
        </w:tc>
      </w:tr>
      <w:tr w:rsidR="00661485" w:rsidRPr="00200844" w:rsidTr="00531ABE">
        <w:tc>
          <w:tcPr>
            <w:tcW w:w="10031" w:type="dxa"/>
          </w:tcPr>
          <w:p w:rsidR="00661485" w:rsidRPr="00706573" w:rsidRDefault="00661485" w:rsidP="00531A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Pré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sentation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des résultats des g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roup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e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 xml:space="preserve">s 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de travail</w:t>
            </w:r>
          </w:p>
        </w:tc>
      </w:tr>
      <w:tr w:rsidR="00661485" w:rsidRPr="00706573" w:rsidTr="00531ABE">
        <w:tc>
          <w:tcPr>
            <w:tcW w:w="10031" w:type="dxa"/>
          </w:tcPr>
          <w:p w:rsidR="00661485" w:rsidRPr="00706573" w:rsidRDefault="00661485" w:rsidP="00531AB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706573">
              <w:rPr>
                <w:rFonts w:ascii="Comic Sans MS" w:hAnsi="Comic Sans MS"/>
                <w:sz w:val="20"/>
                <w:szCs w:val="20"/>
                <w:lang w:val="en-US"/>
              </w:rPr>
              <w:t>Vote</w:t>
            </w:r>
            <w:r w:rsidRPr="00706573">
              <w:rPr>
                <w:rFonts w:ascii="Comic Sans MS" w:hAnsi="Comic Sans MS"/>
                <w:sz w:val="20"/>
                <w:szCs w:val="20"/>
                <w:lang w:val="en-US"/>
              </w:rPr>
              <w:t>s</w:t>
            </w:r>
            <w:r w:rsidRPr="0070657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</w:p>
          <w:p w:rsidR="00661485" w:rsidRPr="00706573" w:rsidRDefault="00661485" w:rsidP="00531ABE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Election du responsable du groupe et des membres du comité exécutif jusqu’en juillet 2015</w:t>
            </w: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?</w:t>
            </w:r>
          </w:p>
          <w:p w:rsidR="00661485" w:rsidRPr="00706573" w:rsidRDefault="00661485" w:rsidP="00531ABE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Constitution des groupes de travail</w:t>
            </w:r>
          </w:p>
        </w:tc>
      </w:tr>
      <w:tr w:rsidR="00661485" w:rsidRPr="00706573" w:rsidTr="00531ABE">
        <w:tc>
          <w:tcPr>
            <w:tcW w:w="10031" w:type="dxa"/>
          </w:tcPr>
          <w:p w:rsidR="00661485" w:rsidRPr="00706573" w:rsidRDefault="00661485" w:rsidP="00531A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706573">
              <w:rPr>
                <w:rFonts w:ascii="Comic Sans MS" w:hAnsi="Comic Sans MS"/>
                <w:sz w:val="20"/>
                <w:szCs w:val="20"/>
                <w:lang w:val="fr-FR"/>
              </w:rPr>
              <w:t>Définition des objectifs et des échéances pour les 2 prochaines années</w:t>
            </w:r>
          </w:p>
        </w:tc>
      </w:tr>
    </w:tbl>
    <w:p w:rsidR="00661485" w:rsidRPr="00706573" w:rsidRDefault="00661485" w:rsidP="00661485">
      <w:pPr>
        <w:pStyle w:val="Paragraphedeliste"/>
        <w:jc w:val="both"/>
        <w:rPr>
          <w:rFonts w:ascii="Arial" w:hAnsi="Arial" w:cs="Arial"/>
          <w:b/>
          <w:sz w:val="24"/>
          <w:szCs w:val="24"/>
        </w:rPr>
      </w:pPr>
    </w:p>
    <w:p w:rsidR="00E15A77" w:rsidRDefault="00E15A77" w:rsidP="00E1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15A77" w:rsidRPr="00E15A77" w:rsidRDefault="00E15A77" w:rsidP="00E15A7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E15A77" w:rsidRPr="00E15A77" w:rsidRDefault="00E15A77">
      <w:pPr>
        <w:rPr>
          <w:rFonts w:ascii="Arial" w:hAnsi="Arial" w:cs="Arial"/>
          <w:b/>
          <w:sz w:val="24"/>
          <w:szCs w:val="24"/>
        </w:rPr>
      </w:pPr>
    </w:p>
    <w:sectPr w:rsidR="00E15A77" w:rsidRPr="00E15A77" w:rsidSect="00E8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 ExtraBold">
    <w:altName w:val="RotisSemi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E18"/>
    <w:multiLevelType w:val="hybridMultilevel"/>
    <w:tmpl w:val="D4FE9350"/>
    <w:lvl w:ilvl="0" w:tplc="DEFABE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15BF9"/>
    <w:multiLevelType w:val="hybridMultilevel"/>
    <w:tmpl w:val="67E8A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34C94"/>
    <w:multiLevelType w:val="hybridMultilevel"/>
    <w:tmpl w:val="A5D45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D3B96"/>
    <w:multiLevelType w:val="hybridMultilevel"/>
    <w:tmpl w:val="E70C6AEC"/>
    <w:lvl w:ilvl="0" w:tplc="DEFABE5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8907FC"/>
    <w:multiLevelType w:val="hybridMultilevel"/>
    <w:tmpl w:val="139A46F6"/>
    <w:lvl w:ilvl="0" w:tplc="A468A4A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E15A77"/>
    <w:rsid w:val="00060054"/>
    <w:rsid w:val="00062AD3"/>
    <w:rsid w:val="000640C0"/>
    <w:rsid w:val="00071B37"/>
    <w:rsid w:val="00082F81"/>
    <w:rsid w:val="00091726"/>
    <w:rsid w:val="000A24F0"/>
    <w:rsid w:val="000B2D41"/>
    <w:rsid w:val="000B552F"/>
    <w:rsid w:val="000B7FA9"/>
    <w:rsid w:val="000C0B60"/>
    <w:rsid w:val="000D38B1"/>
    <w:rsid w:val="000D725A"/>
    <w:rsid w:val="00105454"/>
    <w:rsid w:val="00106127"/>
    <w:rsid w:val="0012049E"/>
    <w:rsid w:val="001309F1"/>
    <w:rsid w:val="00130E37"/>
    <w:rsid w:val="00143D42"/>
    <w:rsid w:val="00156D15"/>
    <w:rsid w:val="001B7261"/>
    <w:rsid w:val="001B7747"/>
    <w:rsid w:val="001C3156"/>
    <w:rsid w:val="001F13BB"/>
    <w:rsid w:val="001F6F3C"/>
    <w:rsid w:val="00200844"/>
    <w:rsid w:val="00200964"/>
    <w:rsid w:val="0022553C"/>
    <w:rsid w:val="00235ECA"/>
    <w:rsid w:val="0027674D"/>
    <w:rsid w:val="002900AA"/>
    <w:rsid w:val="002A0F59"/>
    <w:rsid w:val="002A371B"/>
    <w:rsid w:val="002D2FA9"/>
    <w:rsid w:val="002D314B"/>
    <w:rsid w:val="002D3ACF"/>
    <w:rsid w:val="002F237B"/>
    <w:rsid w:val="002F508E"/>
    <w:rsid w:val="0031247E"/>
    <w:rsid w:val="00315888"/>
    <w:rsid w:val="003202EE"/>
    <w:rsid w:val="003409EB"/>
    <w:rsid w:val="003410B7"/>
    <w:rsid w:val="00351E35"/>
    <w:rsid w:val="00362833"/>
    <w:rsid w:val="003702CE"/>
    <w:rsid w:val="00377A95"/>
    <w:rsid w:val="00394DE1"/>
    <w:rsid w:val="003B2288"/>
    <w:rsid w:val="003B672E"/>
    <w:rsid w:val="003D3A8A"/>
    <w:rsid w:val="00423155"/>
    <w:rsid w:val="00423EB0"/>
    <w:rsid w:val="00431074"/>
    <w:rsid w:val="00435237"/>
    <w:rsid w:val="00451539"/>
    <w:rsid w:val="00457090"/>
    <w:rsid w:val="00462504"/>
    <w:rsid w:val="0047691C"/>
    <w:rsid w:val="004B72FC"/>
    <w:rsid w:val="004D7A6E"/>
    <w:rsid w:val="004E5C2E"/>
    <w:rsid w:val="004F469B"/>
    <w:rsid w:val="00501D11"/>
    <w:rsid w:val="00503F5B"/>
    <w:rsid w:val="00505859"/>
    <w:rsid w:val="0050587F"/>
    <w:rsid w:val="00513FF9"/>
    <w:rsid w:val="00515FCD"/>
    <w:rsid w:val="00520FD3"/>
    <w:rsid w:val="0053150F"/>
    <w:rsid w:val="005323C9"/>
    <w:rsid w:val="00532E51"/>
    <w:rsid w:val="00533642"/>
    <w:rsid w:val="00537782"/>
    <w:rsid w:val="00551009"/>
    <w:rsid w:val="005532B6"/>
    <w:rsid w:val="00565B82"/>
    <w:rsid w:val="005663FD"/>
    <w:rsid w:val="005726B9"/>
    <w:rsid w:val="005759AB"/>
    <w:rsid w:val="00577A68"/>
    <w:rsid w:val="005E0E75"/>
    <w:rsid w:val="005E65E7"/>
    <w:rsid w:val="005F1078"/>
    <w:rsid w:val="005F7792"/>
    <w:rsid w:val="00621AF6"/>
    <w:rsid w:val="006236B9"/>
    <w:rsid w:val="00625216"/>
    <w:rsid w:val="00641228"/>
    <w:rsid w:val="006471EA"/>
    <w:rsid w:val="0065701D"/>
    <w:rsid w:val="00661485"/>
    <w:rsid w:val="00673A7E"/>
    <w:rsid w:val="006749A0"/>
    <w:rsid w:val="00693D1F"/>
    <w:rsid w:val="00697DB5"/>
    <w:rsid w:val="006B47B9"/>
    <w:rsid w:val="006C1E1C"/>
    <w:rsid w:val="007005F1"/>
    <w:rsid w:val="00706573"/>
    <w:rsid w:val="00706AE6"/>
    <w:rsid w:val="00771F46"/>
    <w:rsid w:val="00781E34"/>
    <w:rsid w:val="007A62FF"/>
    <w:rsid w:val="007A7615"/>
    <w:rsid w:val="007B12B8"/>
    <w:rsid w:val="007C17C1"/>
    <w:rsid w:val="007D7DA9"/>
    <w:rsid w:val="007F3264"/>
    <w:rsid w:val="00807CD9"/>
    <w:rsid w:val="00813071"/>
    <w:rsid w:val="00856F6D"/>
    <w:rsid w:val="00890B34"/>
    <w:rsid w:val="00896C2F"/>
    <w:rsid w:val="008A7658"/>
    <w:rsid w:val="008B743B"/>
    <w:rsid w:val="008C108C"/>
    <w:rsid w:val="008D47BA"/>
    <w:rsid w:val="008E3EE6"/>
    <w:rsid w:val="008E4866"/>
    <w:rsid w:val="008F2123"/>
    <w:rsid w:val="0090365A"/>
    <w:rsid w:val="00903B9A"/>
    <w:rsid w:val="00916B73"/>
    <w:rsid w:val="00920498"/>
    <w:rsid w:val="009773F2"/>
    <w:rsid w:val="009A29E2"/>
    <w:rsid w:val="009B295F"/>
    <w:rsid w:val="009B4AC1"/>
    <w:rsid w:val="009F7FF7"/>
    <w:rsid w:val="00A135C9"/>
    <w:rsid w:val="00A16C6C"/>
    <w:rsid w:val="00A44F6C"/>
    <w:rsid w:val="00A45002"/>
    <w:rsid w:val="00A4578A"/>
    <w:rsid w:val="00A5128A"/>
    <w:rsid w:val="00A53E78"/>
    <w:rsid w:val="00A674B5"/>
    <w:rsid w:val="00A838B5"/>
    <w:rsid w:val="00A84505"/>
    <w:rsid w:val="00AA3C08"/>
    <w:rsid w:val="00AB6A7B"/>
    <w:rsid w:val="00AC6395"/>
    <w:rsid w:val="00AD0481"/>
    <w:rsid w:val="00AF4DF7"/>
    <w:rsid w:val="00AF4E3F"/>
    <w:rsid w:val="00B012E1"/>
    <w:rsid w:val="00B05858"/>
    <w:rsid w:val="00B169FF"/>
    <w:rsid w:val="00B22F5B"/>
    <w:rsid w:val="00B47580"/>
    <w:rsid w:val="00B53258"/>
    <w:rsid w:val="00B55BD1"/>
    <w:rsid w:val="00B62F8A"/>
    <w:rsid w:val="00B822A1"/>
    <w:rsid w:val="00BA4212"/>
    <w:rsid w:val="00BC0817"/>
    <w:rsid w:val="00BD2B3A"/>
    <w:rsid w:val="00BF1767"/>
    <w:rsid w:val="00BF3BA6"/>
    <w:rsid w:val="00BF4EAA"/>
    <w:rsid w:val="00C52FD5"/>
    <w:rsid w:val="00C57266"/>
    <w:rsid w:val="00C82519"/>
    <w:rsid w:val="00C95C8D"/>
    <w:rsid w:val="00CB2047"/>
    <w:rsid w:val="00CB57B8"/>
    <w:rsid w:val="00CB66F2"/>
    <w:rsid w:val="00CC52F7"/>
    <w:rsid w:val="00CC7064"/>
    <w:rsid w:val="00CD115A"/>
    <w:rsid w:val="00CE495D"/>
    <w:rsid w:val="00CE5700"/>
    <w:rsid w:val="00D040D6"/>
    <w:rsid w:val="00D046FD"/>
    <w:rsid w:val="00D052A3"/>
    <w:rsid w:val="00D47654"/>
    <w:rsid w:val="00D63AD0"/>
    <w:rsid w:val="00D63AD4"/>
    <w:rsid w:val="00D738C7"/>
    <w:rsid w:val="00D762BB"/>
    <w:rsid w:val="00D85592"/>
    <w:rsid w:val="00D87EBE"/>
    <w:rsid w:val="00D96C43"/>
    <w:rsid w:val="00DC4341"/>
    <w:rsid w:val="00DE0718"/>
    <w:rsid w:val="00DE29A7"/>
    <w:rsid w:val="00E07A53"/>
    <w:rsid w:val="00E12469"/>
    <w:rsid w:val="00E15A77"/>
    <w:rsid w:val="00E23E3F"/>
    <w:rsid w:val="00E318BD"/>
    <w:rsid w:val="00E437C9"/>
    <w:rsid w:val="00E43E9A"/>
    <w:rsid w:val="00E5400D"/>
    <w:rsid w:val="00E8483B"/>
    <w:rsid w:val="00E8633F"/>
    <w:rsid w:val="00E96A62"/>
    <w:rsid w:val="00EA1327"/>
    <w:rsid w:val="00EB62E0"/>
    <w:rsid w:val="00ED5C00"/>
    <w:rsid w:val="00ED679C"/>
    <w:rsid w:val="00EE0E9F"/>
    <w:rsid w:val="00F00644"/>
    <w:rsid w:val="00F179CA"/>
    <w:rsid w:val="00F21C28"/>
    <w:rsid w:val="00F22F1E"/>
    <w:rsid w:val="00F23387"/>
    <w:rsid w:val="00F53824"/>
    <w:rsid w:val="00F76AE9"/>
    <w:rsid w:val="00F821BF"/>
    <w:rsid w:val="00F91733"/>
    <w:rsid w:val="00F9287B"/>
    <w:rsid w:val="00FA20FE"/>
    <w:rsid w:val="00FA5953"/>
    <w:rsid w:val="00FB2EDE"/>
    <w:rsid w:val="00FD3C3D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5A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5A77"/>
    <w:rPr>
      <w:color w:val="0000FF"/>
      <w:u w:val="single"/>
    </w:rPr>
  </w:style>
  <w:style w:type="paragraph" w:customStyle="1" w:styleId="Default">
    <w:name w:val="Default"/>
    <w:rsid w:val="00E15A77"/>
    <w:pPr>
      <w:autoSpaceDE w:val="0"/>
      <w:autoSpaceDN w:val="0"/>
      <w:adjustRightInd w:val="0"/>
      <w:spacing w:after="0" w:line="240" w:lineRule="auto"/>
    </w:pPr>
    <w:rPr>
      <w:rFonts w:ascii="RotisSemiSans ExtraBold" w:eastAsia="Calibri" w:hAnsi="RotisSemiSans ExtraBold" w:cs="RotisSemiSans ExtraBold"/>
      <w:color w:val="000000"/>
      <w:sz w:val="24"/>
      <w:szCs w:val="24"/>
    </w:rPr>
  </w:style>
  <w:style w:type="character" w:customStyle="1" w:styleId="A3">
    <w:name w:val="A3"/>
    <w:uiPriority w:val="99"/>
    <w:rsid w:val="00E15A77"/>
    <w:rPr>
      <w:rFonts w:cs="RotisSemiSans ExtraBold"/>
      <w:b/>
      <w:bCs/>
      <w:color w:val="000000"/>
      <w:sz w:val="18"/>
      <w:szCs w:val="18"/>
    </w:rPr>
  </w:style>
  <w:style w:type="table" w:styleId="Grilledutableau">
    <w:name w:val="Table Grid"/>
    <w:basedOn w:val="TableauNormal"/>
    <w:uiPriority w:val="59"/>
    <w:rsid w:val="002900AA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7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0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7461">
                                                      <w:marLeft w:val="0"/>
                                                      <w:marRight w:val="3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75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93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843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061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02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342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673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038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02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563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089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813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797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2602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867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4420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pa.eu/professional-development/efpa-position-paper-psychologists-in-theeducational-system" TargetMode="External"/><Relationship Id="rId5" Type="http://schemas.openxmlformats.org/officeDocument/2006/relationships/hyperlink" Target="http://ec.europa.eu/programmes/erasmus-plus/documents/erasmus-plus-programme-guide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965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Maman</dc:creator>
  <cp:lastModifiedBy>Maman</cp:lastModifiedBy>
  <cp:revision>2</cp:revision>
  <dcterms:created xsi:type="dcterms:W3CDTF">2014-03-01T14:43:00Z</dcterms:created>
  <dcterms:modified xsi:type="dcterms:W3CDTF">2014-03-01T15:34:00Z</dcterms:modified>
</cp:coreProperties>
</file>