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036" w:rsidRPr="00236BA8" w:rsidRDefault="00A50036">
      <w:pPr>
        <w:jc w:val="center"/>
        <w:rPr>
          <w:i/>
          <w:sz w:val="22"/>
          <w:szCs w:val="22"/>
        </w:rPr>
      </w:pPr>
    </w:p>
    <w:p w:rsidR="00AA478C" w:rsidRPr="00236BA8" w:rsidRDefault="00AA478C" w:rsidP="00AA478C">
      <w:pPr>
        <w:pBdr>
          <w:top w:val="single" w:sz="4" w:space="1" w:color="auto"/>
          <w:left w:val="single" w:sz="4" w:space="0" w:color="auto"/>
          <w:bottom w:val="single" w:sz="4" w:space="0" w:color="auto"/>
          <w:right w:val="single" w:sz="4" w:space="4" w:color="auto"/>
        </w:pBdr>
        <w:tabs>
          <w:tab w:val="left" w:pos="8080"/>
        </w:tabs>
        <w:jc w:val="center"/>
        <w:rPr>
          <w:sz w:val="22"/>
          <w:szCs w:val="22"/>
        </w:rPr>
      </w:pPr>
      <w:r w:rsidRPr="00236BA8">
        <w:rPr>
          <w:b/>
          <w:bCs/>
          <w:i/>
          <w:sz w:val="22"/>
          <w:szCs w:val="22"/>
        </w:rPr>
        <w:t xml:space="preserve">Résumé du     </w:t>
      </w:r>
      <w:r w:rsidRPr="00236BA8">
        <w:rPr>
          <w:i/>
          <w:sz w:val="22"/>
          <w:szCs w:val="22"/>
        </w:rPr>
        <w:t>Compte rendu de  la 32</w:t>
      </w:r>
      <w:r w:rsidRPr="00236BA8">
        <w:rPr>
          <w:i/>
          <w:sz w:val="22"/>
          <w:szCs w:val="22"/>
          <w:vertAlign w:val="superscript"/>
        </w:rPr>
        <w:t>ième</w:t>
      </w:r>
      <w:r w:rsidRPr="00236BA8">
        <w:rPr>
          <w:sz w:val="22"/>
          <w:szCs w:val="22"/>
        </w:rPr>
        <w:t xml:space="preserve">  Conférence de l’ISPA  à Dublin</w:t>
      </w:r>
    </w:p>
    <w:p w:rsidR="00AA478C" w:rsidRPr="00236BA8" w:rsidRDefault="00AA478C" w:rsidP="00AA478C">
      <w:pPr>
        <w:pBdr>
          <w:top w:val="single" w:sz="4" w:space="1" w:color="auto"/>
          <w:left w:val="single" w:sz="4" w:space="0" w:color="auto"/>
          <w:bottom w:val="single" w:sz="4" w:space="0" w:color="auto"/>
          <w:right w:val="single" w:sz="4" w:space="4" w:color="auto"/>
        </w:pBdr>
        <w:tabs>
          <w:tab w:val="left" w:pos="8080"/>
        </w:tabs>
        <w:jc w:val="center"/>
        <w:rPr>
          <w:b/>
          <w:i/>
          <w:sz w:val="22"/>
          <w:szCs w:val="22"/>
        </w:rPr>
      </w:pPr>
      <w:r w:rsidRPr="00236BA8">
        <w:rPr>
          <w:sz w:val="22"/>
          <w:szCs w:val="22"/>
        </w:rPr>
        <w:t xml:space="preserve">    </w:t>
      </w:r>
      <w:r w:rsidRPr="00236BA8">
        <w:rPr>
          <w:b/>
          <w:i/>
          <w:sz w:val="22"/>
          <w:szCs w:val="22"/>
        </w:rPr>
        <w:t>Améliorer la vie de tous les enfants à l’Ecole.</w:t>
      </w:r>
    </w:p>
    <w:p w:rsidR="00A50036" w:rsidRPr="00236BA8" w:rsidRDefault="00A50036" w:rsidP="00AA478C">
      <w:pPr>
        <w:pBdr>
          <w:top w:val="single" w:sz="4" w:space="1" w:color="auto"/>
          <w:left w:val="single" w:sz="4" w:space="0" w:color="auto"/>
          <w:bottom w:val="single" w:sz="4" w:space="0" w:color="auto"/>
          <w:right w:val="single" w:sz="4" w:space="4" w:color="auto"/>
        </w:pBdr>
        <w:jc w:val="center"/>
        <w:rPr>
          <w:b/>
          <w:bCs/>
          <w:sz w:val="22"/>
          <w:szCs w:val="22"/>
        </w:rPr>
      </w:pPr>
    </w:p>
    <w:p w:rsidR="00A50036" w:rsidRPr="00236BA8" w:rsidRDefault="00A50036" w:rsidP="004F1E31">
      <w:pPr>
        <w:pStyle w:val="Titre1"/>
        <w:rPr>
          <w:sz w:val="22"/>
          <w:szCs w:val="22"/>
        </w:rPr>
      </w:pPr>
      <w:r w:rsidRPr="00236BA8">
        <w:rPr>
          <w:i/>
          <w:iCs/>
          <w:sz w:val="22"/>
          <w:szCs w:val="22"/>
        </w:rPr>
        <w:t>R. de Saint Hilaire</w:t>
      </w:r>
      <w:r w:rsidRPr="00236BA8">
        <w:rPr>
          <w:b w:val="0"/>
          <w:bCs w:val="0"/>
          <w:i/>
          <w:iCs/>
          <w:sz w:val="22"/>
          <w:szCs w:val="22"/>
        </w:rPr>
        <w:t> : en charge des relations AFPEN / ISPA</w:t>
      </w:r>
    </w:p>
    <w:p w:rsidR="00A50036" w:rsidRPr="00236BA8" w:rsidRDefault="00A50036">
      <w:pPr>
        <w:rPr>
          <w:sz w:val="22"/>
          <w:szCs w:val="22"/>
        </w:rPr>
      </w:pPr>
    </w:p>
    <w:p w:rsidR="00B6490D" w:rsidRDefault="00A50036">
      <w:pPr>
        <w:rPr>
          <w:bCs/>
          <w:sz w:val="22"/>
          <w:szCs w:val="22"/>
        </w:rPr>
      </w:pPr>
      <w:r w:rsidRPr="00236BA8">
        <w:rPr>
          <w:rFonts w:ascii="Guatemala" w:hAnsi="Guatemala"/>
          <w:bCs/>
          <w:iCs/>
          <w:sz w:val="22"/>
          <w:szCs w:val="22"/>
        </w:rPr>
        <w:t xml:space="preserve"> La 32</w:t>
      </w:r>
      <w:r w:rsidRPr="00236BA8">
        <w:rPr>
          <w:rFonts w:ascii="Guatemala" w:hAnsi="Guatemala"/>
          <w:bCs/>
          <w:iCs/>
          <w:sz w:val="22"/>
          <w:szCs w:val="22"/>
          <w:vertAlign w:val="superscript"/>
        </w:rPr>
        <w:t>ième</w:t>
      </w:r>
      <w:r w:rsidRPr="00236BA8">
        <w:rPr>
          <w:rFonts w:ascii="Guatemala" w:hAnsi="Guatemala"/>
          <w:bCs/>
          <w:iCs/>
          <w:sz w:val="22"/>
          <w:szCs w:val="22"/>
        </w:rPr>
        <w:t xml:space="preserve"> conférence de l’ISPA s’est tenue à Dublin  du 20 au 24  juillet 2010 à </w:t>
      </w:r>
      <w:r w:rsidRPr="00236BA8">
        <w:rPr>
          <w:sz w:val="22"/>
          <w:szCs w:val="22"/>
        </w:rPr>
        <w:t xml:space="preserve"> </w:t>
      </w:r>
      <w:r w:rsidRPr="00236BA8">
        <w:rPr>
          <w:bCs/>
          <w:sz w:val="22"/>
          <w:szCs w:val="22"/>
        </w:rPr>
        <w:t xml:space="preserve">Trinity College </w:t>
      </w:r>
      <w:r w:rsidR="00B6490D">
        <w:rPr>
          <w:bCs/>
          <w:sz w:val="22"/>
          <w:szCs w:val="22"/>
        </w:rPr>
        <w:t>.</w:t>
      </w:r>
    </w:p>
    <w:p w:rsidR="00A50036" w:rsidRPr="00236BA8" w:rsidRDefault="00A50036">
      <w:pPr>
        <w:rPr>
          <w:rFonts w:ascii="Guatemala" w:hAnsi="Guatemala"/>
          <w:bCs/>
          <w:iCs/>
          <w:sz w:val="22"/>
          <w:szCs w:val="22"/>
        </w:rPr>
      </w:pPr>
      <w:r w:rsidRPr="00236BA8">
        <w:rPr>
          <w:sz w:val="22"/>
          <w:szCs w:val="22"/>
        </w:rPr>
        <w:t xml:space="preserve"> </w:t>
      </w:r>
      <w:r w:rsidRPr="00236BA8">
        <w:rPr>
          <w:rFonts w:ascii="Guatemala" w:hAnsi="Guatemala"/>
          <w:bCs/>
          <w:iCs/>
          <w:sz w:val="22"/>
          <w:szCs w:val="22"/>
        </w:rPr>
        <w:t xml:space="preserve">Notre délégation atteignait des  proportions  intéressantes marquant l’intérêt de l’AFPEN pour  l’ISPA et les relations internationales. </w:t>
      </w:r>
    </w:p>
    <w:p w:rsidR="00A50036" w:rsidRPr="00236BA8" w:rsidRDefault="00A50036">
      <w:pPr>
        <w:rPr>
          <w:rFonts w:ascii="Guatemala" w:hAnsi="Guatemala"/>
          <w:bCs/>
          <w:iCs/>
          <w:sz w:val="22"/>
          <w:szCs w:val="22"/>
        </w:rPr>
      </w:pPr>
      <w:r w:rsidRPr="00236BA8">
        <w:rPr>
          <w:rFonts w:ascii="Guatemala" w:hAnsi="Guatemala"/>
          <w:bCs/>
          <w:iCs/>
          <w:sz w:val="22"/>
          <w:szCs w:val="22"/>
        </w:rPr>
        <w:t>Y assistaient également plus de 500 participants de plus de 35 pays différents.</w:t>
      </w:r>
    </w:p>
    <w:p w:rsidR="00A50036" w:rsidRPr="00236BA8" w:rsidRDefault="00A50036">
      <w:pPr>
        <w:rPr>
          <w:rFonts w:ascii="Guatemala" w:hAnsi="Guatemala"/>
          <w:bCs/>
          <w:iCs/>
          <w:sz w:val="22"/>
          <w:szCs w:val="22"/>
        </w:rPr>
      </w:pPr>
    </w:p>
    <w:p w:rsidR="00A50036" w:rsidRPr="00236BA8" w:rsidRDefault="00A50036" w:rsidP="00A3408E">
      <w:pPr>
        <w:rPr>
          <w:rFonts w:ascii="Guatemala" w:hAnsi="Guatemala"/>
          <w:b/>
          <w:bCs/>
          <w:iCs/>
          <w:sz w:val="22"/>
          <w:szCs w:val="22"/>
        </w:rPr>
      </w:pPr>
      <w:r w:rsidRPr="00236BA8">
        <w:rPr>
          <w:rFonts w:ascii="Guatemala" w:hAnsi="Guatemala"/>
          <w:b/>
          <w:bCs/>
          <w:iCs/>
          <w:sz w:val="22"/>
          <w:szCs w:val="22"/>
        </w:rPr>
        <w:t>Activités Scientifiques</w:t>
      </w:r>
    </w:p>
    <w:p w:rsidR="00A50036" w:rsidRPr="00236BA8" w:rsidRDefault="00A50036">
      <w:pPr>
        <w:rPr>
          <w:rFonts w:ascii="Guatemala" w:hAnsi="Guatemala"/>
          <w:bCs/>
          <w:iCs/>
          <w:sz w:val="22"/>
          <w:szCs w:val="22"/>
        </w:rPr>
      </w:pPr>
      <w:r w:rsidRPr="00236BA8">
        <w:rPr>
          <w:rFonts w:ascii="Guatemala" w:hAnsi="Guatemala"/>
          <w:bCs/>
          <w:iCs/>
          <w:sz w:val="22"/>
          <w:szCs w:val="22"/>
        </w:rPr>
        <w:t>Les activités scientifiques ont été plus  nombreuses qu’habituellement, car l’horaire quotidien de démarrage était avancé d’une heure. En voici  quelques unes  intéressantes soit par l’implication de l’association  (workshop I) ou par  un contenu témoignant de la reconnaissante   de notre place dans le système éducatif (workshop II).</w:t>
      </w:r>
    </w:p>
    <w:p w:rsidR="00A50036" w:rsidRPr="00236BA8" w:rsidRDefault="00A50036">
      <w:pPr>
        <w:rPr>
          <w:rFonts w:ascii="Guatemala" w:hAnsi="Guatemala"/>
          <w:bCs/>
          <w:iCs/>
          <w:sz w:val="22"/>
          <w:szCs w:val="22"/>
        </w:rPr>
      </w:pPr>
      <w:r w:rsidRPr="00236BA8">
        <w:rPr>
          <w:rFonts w:ascii="Guatemala" w:hAnsi="Guatemala"/>
          <w:b/>
          <w:bCs/>
          <w:iCs/>
          <w:sz w:val="22"/>
          <w:szCs w:val="22"/>
        </w:rPr>
        <w:t>Workshop I : La coopération Européenne au niveau de la psychologie en milieu scolaire et la gestion des crises.</w:t>
      </w:r>
      <w:r w:rsidRPr="00236BA8">
        <w:rPr>
          <w:rFonts w:ascii="Guatemala" w:hAnsi="Guatemala"/>
          <w:bCs/>
          <w:iCs/>
          <w:sz w:val="22"/>
          <w:szCs w:val="22"/>
        </w:rPr>
        <w:t xml:space="preserve">. </w:t>
      </w:r>
      <w:r w:rsidR="00AA478C" w:rsidRPr="00236BA8">
        <w:rPr>
          <w:rFonts w:ascii="Guatemala" w:hAnsi="Guatemala"/>
          <w:bCs/>
          <w:iCs/>
          <w:sz w:val="22"/>
          <w:szCs w:val="22"/>
        </w:rPr>
        <w:t xml:space="preserve">Ce symposium  (workshop)  a été animé par Willy van Halem et la déléguée de l’AFPEN respectivement </w:t>
      </w:r>
      <w:r w:rsidRPr="00236BA8">
        <w:rPr>
          <w:rFonts w:ascii="Guatemala" w:hAnsi="Guatemala"/>
          <w:bCs/>
          <w:iCs/>
          <w:sz w:val="22"/>
          <w:szCs w:val="22"/>
        </w:rPr>
        <w:t xml:space="preserve"> « co –chair » du Comité Européen </w:t>
      </w:r>
    </w:p>
    <w:p w:rsidR="00A50036" w:rsidRPr="00236BA8" w:rsidRDefault="00AA478C">
      <w:pPr>
        <w:rPr>
          <w:rFonts w:ascii="Guatemala" w:hAnsi="Guatemala"/>
          <w:bCs/>
          <w:iCs/>
          <w:sz w:val="22"/>
          <w:szCs w:val="22"/>
        </w:rPr>
      </w:pPr>
      <w:r w:rsidRPr="00236BA8">
        <w:rPr>
          <w:rFonts w:ascii="Guatemala" w:hAnsi="Guatemala"/>
          <w:bCs/>
          <w:iCs/>
          <w:sz w:val="22"/>
          <w:szCs w:val="22"/>
        </w:rPr>
        <w:t xml:space="preserve">Le Comité </w:t>
      </w:r>
      <w:r w:rsidR="00A50036" w:rsidRPr="00236BA8">
        <w:rPr>
          <w:rFonts w:ascii="Guatemala" w:hAnsi="Guatemala"/>
          <w:bCs/>
          <w:iCs/>
          <w:sz w:val="22"/>
          <w:szCs w:val="22"/>
        </w:rPr>
        <w:t>é Européen de l’ISPA continuera les échanges avec les participants.</w:t>
      </w:r>
    </w:p>
    <w:p w:rsidR="00AA478C" w:rsidRPr="00236BA8" w:rsidRDefault="00AA478C">
      <w:pPr>
        <w:rPr>
          <w:rFonts w:ascii="Guatemala" w:hAnsi="Guatemala"/>
          <w:bCs/>
          <w:iCs/>
          <w:sz w:val="22"/>
          <w:szCs w:val="22"/>
        </w:rPr>
      </w:pPr>
    </w:p>
    <w:p w:rsidR="00A50036" w:rsidRPr="00236BA8" w:rsidRDefault="00A50036">
      <w:pPr>
        <w:rPr>
          <w:rFonts w:ascii="Guatemala" w:hAnsi="Guatemala"/>
          <w:bCs/>
          <w:iCs/>
          <w:sz w:val="22"/>
          <w:szCs w:val="22"/>
        </w:rPr>
      </w:pPr>
      <w:r w:rsidRPr="00236BA8">
        <w:rPr>
          <w:rFonts w:ascii="Guatemala" w:hAnsi="Guatemala"/>
          <w:b/>
          <w:bCs/>
          <w:iCs/>
          <w:sz w:val="22"/>
          <w:szCs w:val="22"/>
        </w:rPr>
        <w:t>Workshop II,  animé par Dieter Glazer</w:t>
      </w:r>
      <w:r w:rsidRPr="00236BA8">
        <w:rPr>
          <w:rFonts w:ascii="Guatemala" w:hAnsi="Guatemala"/>
          <w:bCs/>
          <w:iCs/>
          <w:sz w:val="22"/>
          <w:szCs w:val="22"/>
        </w:rPr>
        <w:t xml:space="preserve"> collègue du Bade Wurtemberg :  </w:t>
      </w:r>
    </w:p>
    <w:p w:rsidR="00AA478C" w:rsidRPr="00236BA8" w:rsidRDefault="00A50036">
      <w:pPr>
        <w:rPr>
          <w:rFonts w:ascii="Guatemala" w:hAnsi="Guatemala"/>
          <w:bCs/>
          <w:iCs/>
          <w:sz w:val="22"/>
          <w:szCs w:val="22"/>
        </w:rPr>
      </w:pPr>
      <w:r w:rsidRPr="00236BA8">
        <w:rPr>
          <w:rFonts w:ascii="Guatemala" w:hAnsi="Guatemala"/>
          <w:b/>
          <w:bCs/>
          <w:iCs/>
          <w:sz w:val="22"/>
          <w:szCs w:val="22"/>
        </w:rPr>
        <w:t xml:space="preserve">« Importance et influence de la coopération interprofessionnelle entre les psychologues de l’Education en intervention en situation de crises ». </w:t>
      </w:r>
      <w:r w:rsidRPr="00236BA8">
        <w:rPr>
          <w:rFonts w:ascii="Guatemala" w:hAnsi="Guatemala"/>
          <w:bCs/>
          <w:iCs/>
          <w:sz w:val="22"/>
          <w:szCs w:val="22"/>
        </w:rPr>
        <w:t xml:space="preserve">Il s’agit de la participation des psychologues de l’éducation dans le travail d’intervention en situation de crises lors des évènements de Winnenden, en </w:t>
      </w:r>
      <w:r w:rsidR="00AA478C" w:rsidRPr="00236BA8">
        <w:rPr>
          <w:rFonts w:ascii="Guatemala" w:hAnsi="Guatemala"/>
          <w:bCs/>
          <w:iCs/>
          <w:sz w:val="22"/>
          <w:szCs w:val="22"/>
        </w:rPr>
        <w:t xml:space="preserve">Allemagne, en 2009  suite au </w:t>
      </w:r>
      <w:r w:rsidRPr="00236BA8">
        <w:rPr>
          <w:rFonts w:ascii="Guatemala" w:hAnsi="Guatemala"/>
          <w:bCs/>
          <w:iCs/>
          <w:sz w:val="22"/>
          <w:szCs w:val="22"/>
        </w:rPr>
        <w:t xml:space="preserve">  massacr</w:t>
      </w:r>
      <w:r w:rsidR="00236BA8" w:rsidRPr="00236BA8">
        <w:rPr>
          <w:rFonts w:ascii="Guatemala" w:hAnsi="Guatemala"/>
          <w:bCs/>
          <w:iCs/>
          <w:sz w:val="22"/>
          <w:szCs w:val="22"/>
        </w:rPr>
        <w:t>e de</w:t>
      </w:r>
      <w:r w:rsidRPr="00236BA8">
        <w:rPr>
          <w:rFonts w:ascii="Guatemala" w:hAnsi="Guatemala"/>
          <w:bCs/>
          <w:iCs/>
          <w:sz w:val="22"/>
          <w:szCs w:val="22"/>
        </w:rPr>
        <w:t xml:space="preserve">  18 personnes, </w:t>
      </w:r>
      <w:r w:rsidR="00AA478C" w:rsidRPr="00236BA8">
        <w:rPr>
          <w:rFonts w:ascii="Guatemala" w:hAnsi="Guatemala"/>
          <w:bCs/>
          <w:iCs/>
          <w:sz w:val="22"/>
          <w:szCs w:val="22"/>
        </w:rPr>
        <w:t xml:space="preserve">par un lycéen dans </w:t>
      </w:r>
      <w:r w:rsidRPr="00236BA8">
        <w:rPr>
          <w:rFonts w:ascii="Guatemala" w:hAnsi="Guatemala"/>
          <w:bCs/>
          <w:iCs/>
          <w:sz w:val="22"/>
          <w:szCs w:val="22"/>
        </w:rPr>
        <w:t>un établissement scolaire.</w:t>
      </w:r>
    </w:p>
    <w:p w:rsidR="00AA478C" w:rsidRPr="00236BA8" w:rsidRDefault="00AA478C">
      <w:pPr>
        <w:rPr>
          <w:rFonts w:ascii="Guatemala" w:hAnsi="Guatemala"/>
          <w:bCs/>
          <w:iCs/>
          <w:sz w:val="22"/>
          <w:szCs w:val="22"/>
        </w:rPr>
      </w:pPr>
    </w:p>
    <w:p w:rsidR="00A50036" w:rsidRPr="00236BA8" w:rsidRDefault="00A50036">
      <w:pPr>
        <w:rPr>
          <w:rFonts w:ascii="Guatemala" w:hAnsi="Guatemala"/>
          <w:b/>
          <w:bCs/>
          <w:iCs/>
          <w:sz w:val="22"/>
          <w:szCs w:val="22"/>
        </w:rPr>
      </w:pPr>
      <w:r w:rsidRPr="00236BA8">
        <w:rPr>
          <w:rFonts w:ascii="Guatemala" w:hAnsi="Guatemala"/>
          <w:b/>
          <w:bCs/>
          <w:iCs/>
          <w:sz w:val="22"/>
          <w:szCs w:val="22"/>
        </w:rPr>
        <w:t>Conférence Plénière</w:t>
      </w:r>
    </w:p>
    <w:p w:rsidR="00A50036" w:rsidRPr="00236BA8" w:rsidRDefault="00A50036">
      <w:pPr>
        <w:rPr>
          <w:rFonts w:ascii="Guatemala" w:hAnsi="Guatemala"/>
          <w:bCs/>
          <w:iCs/>
          <w:sz w:val="22"/>
          <w:szCs w:val="22"/>
        </w:rPr>
      </w:pPr>
      <w:r w:rsidRPr="00236BA8">
        <w:rPr>
          <w:rFonts w:ascii="Guatemala" w:hAnsi="Guatemala"/>
          <w:bCs/>
          <w:iCs/>
          <w:sz w:val="22"/>
          <w:szCs w:val="22"/>
        </w:rPr>
        <w:t>La professeur Beth Doll  a fait par de sa recherche à l’université du Nebraska  sur :</w:t>
      </w:r>
    </w:p>
    <w:p w:rsidR="00E108CF" w:rsidRPr="00236BA8" w:rsidRDefault="00A50036">
      <w:pPr>
        <w:rPr>
          <w:rFonts w:ascii="Guatemala" w:hAnsi="Guatemala"/>
          <w:b/>
          <w:bCs/>
          <w:iCs/>
          <w:sz w:val="22"/>
          <w:szCs w:val="22"/>
        </w:rPr>
      </w:pPr>
      <w:r w:rsidRPr="00236BA8">
        <w:rPr>
          <w:rFonts w:ascii="Guatemala" w:hAnsi="Guatemala"/>
          <w:b/>
          <w:bCs/>
          <w:iCs/>
          <w:sz w:val="22"/>
          <w:szCs w:val="22"/>
        </w:rPr>
        <w:t xml:space="preserve">Le pouvoir étonnant des cours de récréations : Comment les psychologues de l’Education peuvent transformer le tetherball (jeu de ballon) et les tags en une compétence sociale. </w:t>
      </w:r>
    </w:p>
    <w:p w:rsidR="00A50036" w:rsidRPr="00236BA8" w:rsidRDefault="00A50036">
      <w:pPr>
        <w:rPr>
          <w:rFonts w:ascii="Guatemala" w:hAnsi="Guatemala"/>
          <w:bCs/>
          <w:iCs/>
          <w:sz w:val="22"/>
          <w:szCs w:val="22"/>
        </w:rPr>
      </w:pPr>
      <w:r w:rsidRPr="00236BA8">
        <w:rPr>
          <w:rFonts w:ascii="Guatemala" w:hAnsi="Guatemala"/>
          <w:bCs/>
          <w:iCs/>
          <w:sz w:val="22"/>
          <w:szCs w:val="22"/>
        </w:rPr>
        <w:t>Il s’agit de transformer   dans les collèges et lycées,  la surveillance des cours de récréations. La participation des adultes référents en particulier des professeurs et psychologues, deviendrait   visible et active en ces lieux propices au comportement agressif (bullying ).</w:t>
      </w:r>
    </w:p>
    <w:p w:rsidR="00A50036" w:rsidRPr="00236BA8" w:rsidRDefault="00A50036">
      <w:pPr>
        <w:rPr>
          <w:rFonts w:ascii="Guatemala" w:hAnsi="Guatemala"/>
          <w:bCs/>
          <w:iCs/>
          <w:sz w:val="22"/>
          <w:szCs w:val="22"/>
        </w:rPr>
      </w:pPr>
      <w:r w:rsidRPr="00236BA8">
        <w:rPr>
          <w:rFonts w:ascii="Guatemala" w:hAnsi="Guatemala"/>
          <w:bCs/>
          <w:iCs/>
          <w:sz w:val="22"/>
          <w:szCs w:val="22"/>
        </w:rPr>
        <w:t xml:space="preserve">Ceci de façon à tenter de modifier cette agressivité  en capacité s sociales organisatrice de jeux de compétions sportive  ou </w:t>
      </w:r>
      <w:r w:rsidR="00B6490D" w:rsidRPr="00236BA8">
        <w:rPr>
          <w:rFonts w:ascii="Guatemala" w:hAnsi="Guatemala"/>
          <w:bCs/>
          <w:iCs/>
          <w:sz w:val="22"/>
          <w:szCs w:val="22"/>
        </w:rPr>
        <w:t xml:space="preserve">artistiques. </w:t>
      </w:r>
    </w:p>
    <w:p w:rsidR="00AA478C" w:rsidRPr="00236BA8" w:rsidRDefault="00AA478C">
      <w:pPr>
        <w:rPr>
          <w:rFonts w:ascii="Guatemala" w:hAnsi="Guatemala"/>
          <w:bCs/>
          <w:iCs/>
          <w:sz w:val="22"/>
          <w:szCs w:val="22"/>
        </w:rPr>
      </w:pPr>
    </w:p>
    <w:p w:rsidR="00A50036" w:rsidRPr="00236BA8" w:rsidRDefault="00A50036">
      <w:pPr>
        <w:rPr>
          <w:rFonts w:ascii="Guatemala" w:hAnsi="Guatemala"/>
          <w:b/>
          <w:bCs/>
          <w:sz w:val="22"/>
          <w:szCs w:val="22"/>
        </w:rPr>
      </w:pPr>
      <w:r w:rsidRPr="00236BA8">
        <w:rPr>
          <w:rFonts w:ascii="Guatemala" w:hAnsi="Guatemala"/>
          <w:b/>
          <w:bCs/>
          <w:sz w:val="22"/>
          <w:szCs w:val="22"/>
        </w:rPr>
        <w:t>Mot de fin :</w:t>
      </w:r>
    </w:p>
    <w:p w:rsidR="00A50036" w:rsidRPr="00236BA8" w:rsidRDefault="00A50036">
      <w:pPr>
        <w:rPr>
          <w:rFonts w:ascii="Guatemala" w:hAnsi="Guatemala"/>
          <w:sz w:val="22"/>
          <w:szCs w:val="22"/>
        </w:rPr>
      </w:pPr>
      <w:r w:rsidRPr="00236BA8">
        <w:rPr>
          <w:rFonts w:ascii="Guatemala" w:hAnsi="Guatemala"/>
          <w:sz w:val="22"/>
          <w:szCs w:val="22"/>
        </w:rPr>
        <w:t>Cette conférence à bénéficié  d’intéressantes  conditions de travail et d’accueil .Le nombre de pays représentés à cette 32</w:t>
      </w:r>
      <w:r w:rsidRPr="00236BA8">
        <w:rPr>
          <w:rFonts w:ascii="Guatemala" w:hAnsi="Guatemala"/>
          <w:sz w:val="22"/>
          <w:szCs w:val="22"/>
          <w:vertAlign w:val="superscript"/>
        </w:rPr>
        <w:t>ième</w:t>
      </w:r>
      <w:r w:rsidRPr="00236BA8">
        <w:rPr>
          <w:rFonts w:ascii="Guatemala" w:hAnsi="Guatemala"/>
          <w:sz w:val="22"/>
          <w:szCs w:val="22"/>
        </w:rPr>
        <w:t xml:space="preserve"> Conférence de l’ISPA. a augmenté ainsi que celui des participants.</w:t>
      </w:r>
    </w:p>
    <w:p w:rsidR="00A50036" w:rsidRPr="00236BA8" w:rsidRDefault="00A50036" w:rsidP="002F78E7">
      <w:pPr>
        <w:tabs>
          <w:tab w:val="left" w:pos="720"/>
        </w:tabs>
        <w:rPr>
          <w:rFonts w:ascii="Guatemala" w:hAnsi="Guatemala"/>
          <w:sz w:val="22"/>
          <w:szCs w:val="22"/>
        </w:rPr>
      </w:pPr>
      <w:r w:rsidRPr="00236BA8">
        <w:rPr>
          <w:rFonts w:ascii="Guatemala" w:hAnsi="Guatemala"/>
          <w:sz w:val="22"/>
          <w:szCs w:val="22"/>
        </w:rPr>
        <w:t xml:space="preserve">La visibilité de délégation AFPEN s’est faite par l’animation, et la participation de chacun des membres de la délégation à  plusieurs workshops, que ce soit au niveau du comité européen de l’ISPA, de la délégation UNESCO de l’ISPA et des liens ISPA/NEPES. </w:t>
      </w:r>
    </w:p>
    <w:p w:rsidR="00A50036" w:rsidRPr="00236BA8" w:rsidRDefault="00A50036" w:rsidP="002F78E7">
      <w:pPr>
        <w:tabs>
          <w:tab w:val="left" w:pos="720"/>
        </w:tabs>
        <w:rPr>
          <w:rFonts w:ascii="Guatemala" w:hAnsi="Guatemala"/>
          <w:sz w:val="22"/>
          <w:szCs w:val="22"/>
        </w:rPr>
      </w:pPr>
      <w:r w:rsidRPr="00236BA8">
        <w:rPr>
          <w:rFonts w:ascii="Guatemala" w:hAnsi="Guatemala"/>
          <w:sz w:val="22"/>
          <w:szCs w:val="22"/>
        </w:rPr>
        <w:t>Jürg  Foster « Elected President » à été sensible à la brochure du compte rendu du Congrès de Clermont Ferrand qui lui a été remis de la part de L’AFPEN.</w:t>
      </w:r>
    </w:p>
    <w:p w:rsidR="00A50036" w:rsidRPr="00236BA8" w:rsidRDefault="00A50036" w:rsidP="002F78E7">
      <w:pPr>
        <w:tabs>
          <w:tab w:val="left" w:pos="720"/>
        </w:tabs>
        <w:rPr>
          <w:rFonts w:ascii="Guatemala" w:hAnsi="Guatemala"/>
          <w:sz w:val="22"/>
          <w:szCs w:val="22"/>
        </w:rPr>
      </w:pPr>
      <w:r w:rsidRPr="00236BA8">
        <w:rPr>
          <w:rFonts w:ascii="Guatemala" w:hAnsi="Guatemala"/>
          <w:sz w:val="22"/>
          <w:szCs w:val="22"/>
        </w:rPr>
        <w:t>Nous avons également pris contact avec Bernhard Meissner directeur de l’ETC pour une éventuelle participation au congrès de Strasbourg en 2011.</w:t>
      </w:r>
    </w:p>
    <w:p w:rsidR="00A50036" w:rsidRPr="00236BA8" w:rsidRDefault="00A50036" w:rsidP="002F78E7">
      <w:pPr>
        <w:tabs>
          <w:tab w:val="left" w:pos="720"/>
        </w:tabs>
        <w:rPr>
          <w:rFonts w:ascii="Guatemala" w:hAnsi="Guatemala"/>
          <w:sz w:val="22"/>
          <w:szCs w:val="22"/>
          <w:lang w:val="en-US"/>
        </w:rPr>
      </w:pPr>
      <w:r w:rsidRPr="00236BA8">
        <w:rPr>
          <w:rFonts w:ascii="Guatemala" w:hAnsi="Guatemala"/>
          <w:sz w:val="22"/>
          <w:szCs w:val="22"/>
        </w:rPr>
        <w:t xml:space="preserve">La prochaine  conférence de l’ISPA aura lieur en 2011 à CHENNAI en INDE ; du 19 au 23 Juillet. </w:t>
      </w:r>
      <w:r w:rsidRPr="00236BA8">
        <w:rPr>
          <w:rFonts w:ascii="Guatemala" w:hAnsi="Guatemala"/>
          <w:sz w:val="22"/>
          <w:szCs w:val="22"/>
          <w:lang w:val="en-US"/>
        </w:rPr>
        <w:t>Le thème en sera:</w:t>
      </w:r>
    </w:p>
    <w:p w:rsidR="00A50036" w:rsidRPr="00236BA8" w:rsidRDefault="00A50036" w:rsidP="002F78E7">
      <w:pPr>
        <w:tabs>
          <w:tab w:val="left" w:pos="720"/>
        </w:tabs>
        <w:rPr>
          <w:rFonts w:ascii="Guatemala" w:hAnsi="Guatemala"/>
          <w:b/>
          <w:i/>
          <w:sz w:val="22"/>
          <w:szCs w:val="22"/>
          <w:lang w:val="en-US"/>
        </w:rPr>
      </w:pPr>
      <w:r w:rsidRPr="00236BA8">
        <w:rPr>
          <w:rFonts w:ascii="Guatemala" w:hAnsi="Guatemala"/>
          <w:b/>
          <w:i/>
          <w:sz w:val="22"/>
          <w:szCs w:val="22"/>
          <w:lang w:val="en-US"/>
        </w:rPr>
        <w:t>Educational Psychology in the context of Globalization, Diversity and Societal Challenges .</w:t>
      </w:r>
    </w:p>
    <w:p w:rsidR="00A50036" w:rsidRPr="00236BA8" w:rsidRDefault="00A50036">
      <w:pPr>
        <w:rPr>
          <w:rFonts w:ascii="Guatemala" w:hAnsi="Guatemala"/>
          <w:i/>
          <w:iCs/>
          <w:sz w:val="22"/>
          <w:szCs w:val="22"/>
        </w:rPr>
      </w:pPr>
      <w:r w:rsidRPr="00236BA8">
        <w:rPr>
          <w:rFonts w:ascii="Guatemala" w:hAnsi="Guatemala"/>
          <w:iCs/>
          <w:sz w:val="22"/>
          <w:szCs w:val="22"/>
        </w:rPr>
        <w:t>Vous pouvez également consulter le site de l’ISPA pour tout renseignement</w:t>
      </w:r>
      <w:r w:rsidRPr="00236BA8">
        <w:rPr>
          <w:rFonts w:ascii="Guatemala" w:hAnsi="Guatemala"/>
          <w:i/>
          <w:iCs/>
          <w:sz w:val="22"/>
          <w:szCs w:val="22"/>
        </w:rPr>
        <w:t xml:space="preserve"> :  </w:t>
      </w:r>
    </w:p>
    <w:p w:rsidR="00A50036" w:rsidRPr="00236BA8" w:rsidRDefault="00A50036">
      <w:pPr>
        <w:rPr>
          <w:rFonts w:ascii="Guatemala" w:hAnsi="Guatemala"/>
          <w:i/>
          <w:iCs/>
          <w:sz w:val="22"/>
          <w:szCs w:val="22"/>
        </w:rPr>
      </w:pPr>
      <w:r w:rsidRPr="00236BA8">
        <w:rPr>
          <w:rFonts w:ascii="Guatemala" w:hAnsi="Guatemala"/>
          <w:i/>
          <w:iCs/>
          <w:sz w:val="22"/>
          <w:szCs w:val="22"/>
        </w:rPr>
        <w:t xml:space="preserve"> http:// www. ispaweb.org</w:t>
      </w:r>
    </w:p>
    <w:p w:rsidR="00A50036" w:rsidRPr="001D2E69" w:rsidRDefault="00A50036">
      <w:pPr>
        <w:rPr>
          <w:rFonts w:ascii="Guatemala" w:hAnsi="Guatemala"/>
          <w:i/>
          <w:iCs/>
        </w:rPr>
      </w:pPr>
    </w:p>
    <w:p w:rsidR="00A50036" w:rsidRPr="001D2E69" w:rsidRDefault="00A50036">
      <w:pPr>
        <w:rPr>
          <w:rFonts w:ascii="Guatemala" w:hAnsi="Guatemala"/>
          <w:i/>
          <w:iCs/>
        </w:rPr>
      </w:pPr>
    </w:p>
    <w:p w:rsidR="00A50036" w:rsidRPr="001D2E69" w:rsidRDefault="00A50036">
      <w:pPr>
        <w:rPr>
          <w:rFonts w:ascii="Guatemala" w:hAnsi="Guatemala"/>
        </w:rPr>
      </w:pPr>
    </w:p>
    <w:p w:rsidR="00A50036" w:rsidRPr="00020369" w:rsidRDefault="004806B8">
      <w:pPr>
        <w:jc w:val="center"/>
        <w:rPr>
          <w:b/>
          <w:bCs/>
        </w:rPr>
      </w:pPr>
      <w:r>
        <w:rPr>
          <w:b/>
          <w:noProof/>
        </w:rPr>
        <w:lastRenderedPageBreak/>
        <w:drawing>
          <wp:inline distT="0" distB="0" distL="0" distR="0">
            <wp:extent cx="5762625" cy="4305300"/>
            <wp:effectExtent l="19050" t="0" r="9525" b="0"/>
            <wp:docPr id="1" name="Image 4" descr="C:\Documents and Settings\user\Mes documents\Mes images\Chartres.Dublin2010.Dieppe 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C:\Documents and Settings\user\Mes documents\Mes images\Chartres.Dublin2010.Dieppe 027.JPG"/>
                    <pic:cNvPicPr>
                      <a:picLocks noChangeAspect="1" noChangeArrowheads="1"/>
                    </pic:cNvPicPr>
                  </pic:nvPicPr>
                  <pic:blipFill>
                    <a:blip r:embed="rId5"/>
                    <a:srcRect/>
                    <a:stretch>
                      <a:fillRect/>
                    </a:stretch>
                  </pic:blipFill>
                  <pic:spPr bwMode="auto">
                    <a:xfrm>
                      <a:off x="0" y="0"/>
                      <a:ext cx="5762625" cy="4305300"/>
                    </a:xfrm>
                    <a:prstGeom prst="rect">
                      <a:avLst/>
                    </a:prstGeom>
                    <a:noFill/>
                    <a:ln w="9525">
                      <a:noFill/>
                      <a:miter lim="800000"/>
                      <a:headEnd/>
                      <a:tailEnd/>
                    </a:ln>
                  </pic:spPr>
                </pic:pic>
              </a:graphicData>
            </a:graphic>
          </wp:inline>
        </w:drawing>
      </w:r>
    </w:p>
    <w:p w:rsidR="00A50036" w:rsidRPr="00020369" w:rsidRDefault="00A50036">
      <w:pPr>
        <w:jc w:val="center"/>
        <w:rPr>
          <w:b/>
          <w:bCs/>
        </w:rPr>
      </w:pPr>
    </w:p>
    <w:p w:rsidR="00A50036" w:rsidRPr="00020369" w:rsidRDefault="00A50036">
      <w:pPr>
        <w:jc w:val="center"/>
        <w:rPr>
          <w:b/>
          <w:bCs/>
        </w:rPr>
      </w:pPr>
      <w:r>
        <w:rPr>
          <w:b/>
          <w:bCs/>
        </w:rPr>
        <w:t>Au cours du Worshop du comité européen de l’ISPA, le compte rendu de la responsable de European Training Center (ETC)</w:t>
      </w:r>
    </w:p>
    <w:p w:rsidR="00A50036" w:rsidRPr="00020369" w:rsidRDefault="00A50036">
      <w:pPr>
        <w:jc w:val="center"/>
        <w:rPr>
          <w:b/>
          <w:bCs/>
        </w:rPr>
      </w:pPr>
    </w:p>
    <w:p w:rsidR="00A50036" w:rsidRPr="00020369" w:rsidRDefault="00A50036">
      <w:pPr>
        <w:jc w:val="center"/>
        <w:rPr>
          <w:b/>
          <w:bCs/>
        </w:rPr>
      </w:pPr>
    </w:p>
    <w:p w:rsidR="00A50036" w:rsidRDefault="004806B8">
      <w:pPr>
        <w:jc w:val="center"/>
        <w:rPr>
          <w:b/>
          <w:bCs/>
        </w:rPr>
      </w:pPr>
      <w:r>
        <w:rPr>
          <w:b/>
          <w:noProof/>
        </w:rPr>
        <w:drawing>
          <wp:inline distT="0" distB="0" distL="0" distR="0">
            <wp:extent cx="2181225" cy="1457325"/>
            <wp:effectExtent l="19050" t="0" r="9525" b="0"/>
            <wp:docPr id="2" name="Image 5" descr="C:\Documents and Settings\user\Mes documents\Mes images\Trinity colle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C:\Documents and Settings\user\Mes documents\Mes images\Trinity college.jpg"/>
                    <pic:cNvPicPr>
                      <a:picLocks noChangeAspect="1" noChangeArrowheads="1"/>
                    </pic:cNvPicPr>
                  </pic:nvPicPr>
                  <pic:blipFill>
                    <a:blip r:embed="rId6"/>
                    <a:srcRect/>
                    <a:stretch>
                      <a:fillRect/>
                    </a:stretch>
                  </pic:blipFill>
                  <pic:spPr bwMode="auto">
                    <a:xfrm>
                      <a:off x="0" y="0"/>
                      <a:ext cx="2181225" cy="1457325"/>
                    </a:xfrm>
                    <a:prstGeom prst="rect">
                      <a:avLst/>
                    </a:prstGeom>
                    <a:noFill/>
                    <a:ln w="9525">
                      <a:noFill/>
                      <a:miter lim="800000"/>
                      <a:headEnd/>
                      <a:tailEnd/>
                    </a:ln>
                  </pic:spPr>
                </pic:pic>
              </a:graphicData>
            </a:graphic>
          </wp:inline>
        </w:drawing>
      </w:r>
      <w:r w:rsidR="00A50036" w:rsidRPr="00020369">
        <w:rPr>
          <w:b/>
          <w:bCs/>
        </w:rPr>
        <w:t>*</w:t>
      </w:r>
    </w:p>
    <w:p w:rsidR="00A50036" w:rsidRPr="00390967" w:rsidRDefault="00A50036" w:rsidP="00390967"/>
    <w:p w:rsidR="00A50036" w:rsidRDefault="00A50036" w:rsidP="00390967"/>
    <w:p w:rsidR="00A50036" w:rsidRDefault="00A50036" w:rsidP="00390967"/>
    <w:p w:rsidR="00A50036" w:rsidRPr="00390967" w:rsidRDefault="00A50036" w:rsidP="00390967">
      <w:pPr>
        <w:tabs>
          <w:tab w:val="left" w:pos="3735"/>
        </w:tabs>
        <w:rPr>
          <w:b/>
        </w:rPr>
      </w:pPr>
      <w:r>
        <w:tab/>
      </w:r>
      <w:r w:rsidRPr="00390967">
        <w:rPr>
          <w:b/>
        </w:rPr>
        <w:t>Trinity College de Dublin ;</w:t>
      </w:r>
    </w:p>
    <w:p w:rsidR="00A50036" w:rsidRPr="00390967" w:rsidRDefault="00A50036" w:rsidP="00390967">
      <w:pPr>
        <w:tabs>
          <w:tab w:val="left" w:pos="3735"/>
        </w:tabs>
        <w:jc w:val="center"/>
        <w:rPr>
          <w:b/>
        </w:rPr>
      </w:pPr>
      <w:r w:rsidRPr="00390967">
        <w:rPr>
          <w:b/>
        </w:rPr>
        <w:t>Ou s’est déroulée la 32</w:t>
      </w:r>
      <w:r w:rsidRPr="00390967">
        <w:rPr>
          <w:b/>
          <w:vertAlign w:val="superscript"/>
        </w:rPr>
        <w:t>ième</w:t>
      </w:r>
      <w:r w:rsidRPr="00390967">
        <w:rPr>
          <w:b/>
        </w:rPr>
        <w:t xml:space="preserve"> conférence de l’ISPA</w:t>
      </w:r>
    </w:p>
    <w:sectPr w:rsidR="00A50036" w:rsidRPr="00390967" w:rsidSect="00AA478C">
      <w:pgSz w:w="11906" w:h="16838"/>
      <w:pgMar w:top="539" w:right="991" w:bottom="71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uatemala">
    <w:panose1 w:val="020205020503060202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A943F6"/>
    <w:multiLevelType w:val="hybridMultilevel"/>
    <w:tmpl w:val="C92E8402"/>
    <w:lvl w:ilvl="0" w:tplc="3F144B58">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noPunctuationKerning/>
  <w:characterSpacingControl w:val="doNotCompress"/>
  <w:compat/>
  <w:rsids>
    <w:rsidRoot w:val="007A12A7"/>
    <w:rsid w:val="00020369"/>
    <w:rsid w:val="00050BF9"/>
    <w:rsid w:val="00064C4A"/>
    <w:rsid w:val="00100FB7"/>
    <w:rsid w:val="001776ED"/>
    <w:rsid w:val="001D2E69"/>
    <w:rsid w:val="001F7B36"/>
    <w:rsid w:val="00236BA8"/>
    <w:rsid w:val="002B419F"/>
    <w:rsid w:val="002F78E7"/>
    <w:rsid w:val="00370E77"/>
    <w:rsid w:val="00390967"/>
    <w:rsid w:val="003C09A9"/>
    <w:rsid w:val="003D592C"/>
    <w:rsid w:val="00415F02"/>
    <w:rsid w:val="004314D8"/>
    <w:rsid w:val="004427E2"/>
    <w:rsid w:val="004806B8"/>
    <w:rsid w:val="004F1E31"/>
    <w:rsid w:val="006359A2"/>
    <w:rsid w:val="006A403F"/>
    <w:rsid w:val="006D4A79"/>
    <w:rsid w:val="007578BE"/>
    <w:rsid w:val="007A12A7"/>
    <w:rsid w:val="007B6AFB"/>
    <w:rsid w:val="007D17A7"/>
    <w:rsid w:val="007E04A5"/>
    <w:rsid w:val="007F4C72"/>
    <w:rsid w:val="008C382C"/>
    <w:rsid w:val="0090213C"/>
    <w:rsid w:val="00902575"/>
    <w:rsid w:val="009076E5"/>
    <w:rsid w:val="00A3408E"/>
    <w:rsid w:val="00A50036"/>
    <w:rsid w:val="00AA478C"/>
    <w:rsid w:val="00B24D0E"/>
    <w:rsid w:val="00B6036B"/>
    <w:rsid w:val="00B6490D"/>
    <w:rsid w:val="00B71840"/>
    <w:rsid w:val="00C10ACE"/>
    <w:rsid w:val="00C73A23"/>
    <w:rsid w:val="00C872D0"/>
    <w:rsid w:val="00CD2438"/>
    <w:rsid w:val="00D5112D"/>
    <w:rsid w:val="00D57ED7"/>
    <w:rsid w:val="00D82679"/>
    <w:rsid w:val="00DC1D70"/>
    <w:rsid w:val="00DE47AC"/>
    <w:rsid w:val="00E108CF"/>
    <w:rsid w:val="00E4143F"/>
    <w:rsid w:val="00E423E9"/>
    <w:rsid w:val="00E51707"/>
    <w:rsid w:val="00E9261D"/>
    <w:rsid w:val="00F46F74"/>
    <w:rsid w:val="00F633A7"/>
    <w:rsid w:val="00FA6B1F"/>
    <w:rsid w:val="00FB6CDD"/>
    <w:rsid w:val="00FC5C32"/>
    <w:rsid w:val="00FE55E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6ED"/>
    <w:rPr>
      <w:sz w:val="24"/>
      <w:szCs w:val="24"/>
    </w:rPr>
  </w:style>
  <w:style w:type="paragraph" w:styleId="Titre1">
    <w:name w:val="heading 1"/>
    <w:basedOn w:val="Normal"/>
    <w:next w:val="Normal"/>
    <w:link w:val="Titre1Car"/>
    <w:uiPriority w:val="9"/>
    <w:qFormat/>
    <w:rsid w:val="001776ED"/>
    <w:pPr>
      <w:keepNext/>
      <w:outlineLvl w:val="0"/>
    </w:pPr>
    <w:rPr>
      <w:b/>
      <w:bCs/>
    </w:rPr>
  </w:style>
  <w:style w:type="paragraph" w:styleId="Titre2">
    <w:name w:val="heading 2"/>
    <w:basedOn w:val="Normal"/>
    <w:next w:val="Normal"/>
    <w:link w:val="Titre2Car"/>
    <w:uiPriority w:val="9"/>
    <w:qFormat/>
    <w:rsid w:val="001776ED"/>
    <w:pPr>
      <w:keepNext/>
      <w:outlineLvl w:val="1"/>
    </w:pPr>
    <w:rPr>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F2C33"/>
    <w:rPr>
      <w:rFonts w:ascii="Guatemala" w:eastAsia="Times New Roman" w:hAnsi="Guatemala" w:cs="Times New Roman"/>
      <w:b/>
      <w:bCs/>
      <w:kern w:val="32"/>
      <w:sz w:val="32"/>
      <w:szCs w:val="32"/>
    </w:rPr>
  </w:style>
  <w:style w:type="character" w:customStyle="1" w:styleId="Titre2Car">
    <w:name w:val="Titre 2 Car"/>
    <w:basedOn w:val="Policepardfaut"/>
    <w:link w:val="Titre2"/>
    <w:uiPriority w:val="9"/>
    <w:semiHidden/>
    <w:rsid w:val="005F2C33"/>
    <w:rPr>
      <w:rFonts w:ascii="Guatemala" w:eastAsia="Times New Roman" w:hAnsi="Guatemala" w:cs="Times New Roman"/>
      <w:b/>
      <w:bCs/>
      <w:i/>
      <w:iCs/>
      <w:sz w:val="28"/>
      <w:szCs w:val="28"/>
    </w:rPr>
  </w:style>
  <w:style w:type="paragraph" w:styleId="Textedebulles">
    <w:name w:val="Balloon Text"/>
    <w:basedOn w:val="Normal"/>
    <w:link w:val="TextedebullesCar"/>
    <w:uiPriority w:val="99"/>
    <w:semiHidden/>
    <w:unhideWhenUsed/>
    <w:rsid w:val="00100FB7"/>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100FB7"/>
    <w:rPr>
      <w:rFonts w:ascii="Tahoma" w:hAnsi="Tahoma" w:cs="Tahoma"/>
      <w:sz w:val="16"/>
      <w:szCs w:val="16"/>
    </w:rPr>
  </w:style>
  <w:style w:type="character" w:styleId="Lienhypertexte">
    <w:name w:val="Hyperlink"/>
    <w:basedOn w:val="Policepardfaut"/>
    <w:uiPriority w:val="99"/>
    <w:semiHidden/>
    <w:unhideWhenUsed/>
    <w:rsid w:val="00050BF9"/>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3091</Characters>
  <Application>Microsoft Office Word</Application>
  <DocSecurity>0</DocSecurity>
  <Lines>25</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Compte rendu de la délégation AFPEN à la 31 Conférence de l’ISPA</vt:lpstr>
      <vt:lpstr>Compte rendu de la délégation AFPEN à la 31 Conférence de l’ISPA</vt:lpstr>
    </vt:vector>
  </TitlesOfParts>
  <Company> </Company>
  <LinksUpToDate>false</LinksUpToDate>
  <CharactersWithSpaces>3645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Compte rendu de la délégation AFPEN à la 31 Conférence de l’ISPA</dc:title>
  <dc:subject/>
  <dc:creator>Rosène de Saint Hilaire</dc:creator>
  <cp:keywords/>
  <dc:description/>
  <cp:lastModifiedBy>Rosène</cp:lastModifiedBy>
  <cp:revision>2</cp:revision>
  <dcterms:created xsi:type="dcterms:W3CDTF">2014-11-21T22:13:00Z</dcterms:created>
  <dcterms:modified xsi:type="dcterms:W3CDTF">2014-11-21T22:13:00Z</dcterms:modified>
</cp:coreProperties>
</file>